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E2A" w:rsidRDefault="000B1E2A" w:rsidP="000B1E2A">
      <w:pPr>
        <w:pStyle w:val="Title"/>
        <w:rPr>
          <w:sz w:val="24"/>
          <w:szCs w:val="24"/>
        </w:rPr>
      </w:pPr>
      <w:r>
        <w:t xml:space="preserve">COVID-19 Australia: Epidemiology Report 31 </w:t>
      </w:r>
    </w:p>
    <w:p w:rsidR="000B1E2A" w:rsidRPr="00B36B71" w:rsidRDefault="000B1E2A" w:rsidP="00B36B71">
      <w:pPr>
        <w:pStyle w:val="Subtitle"/>
      </w:pPr>
      <w:r w:rsidRPr="00B36B71">
        <w:t xml:space="preserve">Fortnightly reporting period ending 6 December 2020 </w:t>
      </w:r>
    </w:p>
    <w:p w:rsidR="000B1E2A" w:rsidRDefault="000B1E2A" w:rsidP="00B36B71">
      <w:r>
        <w:t xml:space="preserve">COVID-19 National Incident Room Surveillance Team </w:t>
      </w:r>
    </w:p>
    <w:p w:rsidR="000B1E2A" w:rsidRPr="000B1E2A" w:rsidRDefault="000B1E2A" w:rsidP="000B1E2A">
      <w:pPr>
        <w:pStyle w:val="Heading1"/>
      </w:pPr>
      <w:r w:rsidRPr="000B1E2A">
        <w:t xml:space="preserve">Summary </w:t>
      </w:r>
    </w:p>
    <w:p w:rsidR="00D11211" w:rsidRDefault="00D11211" w:rsidP="00B948AE">
      <w:r w:rsidRPr="00D11211">
        <w:t>Nationally, COVID-19 notifications remained at low levels this fortnight. Testing rates also decreased during the surveillance period. The daily average number of cases was eight compared to an average of 11 cases for the previous fortnight. There were 109 cases of COVID-19 and no deaths this fortnight, bringing the cumulative case count to 28,049 including 908 deaths. New South Wales reported the highest proportion of cases again this fortnight (54%; 59/109), with all except one acquired overseas (98%; 58/59). Locally-acquired cases accounted for 5% (5/109) of all cases reported this fortnight, with one of these from an unknown source. FluTracking data indicated that 47% of people in the community with ‘fever and cough’ and 19% of those with ‘runny nose and sore throat’ were tested for SARS-CoV-2, which was a decrease from the previous reporting period. Testing rates decreased to 9.3 tests per 1,000 population per week during this reporting period, representing a 29% decrease in fortnightly tests conducted compared to the last reporting period. The overall positivity rate for the reporting period remains at 0.03%.</w:t>
      </w:r>
    </w:p>
    <w:p w:rsidR="000B1E2A" w:rsidRDefault="000B1E2A" w:rsidP="00B948AE">
      <w:r>
        <w:t>Keywords: SARS-CoV-2; novel coronavirus; 2019-nCoV; coronavirus disease 2019; COVID-19; acute respiratory d</w:t>
      </w:r>
      <w:r w:rsidR="00D11211">
        <w:t>isease; epidemiology; Australia</w:t>
      </w:r>
    </w:p>
    <w:p w:rsidR="000B1E2A" w:rsidRPr="000B1E2A" w:rsidRDefault="000B1E2A" w:rsidP="000B1E2A">
      <w:pPr>
        <w:pStyle w:val="Heading1"/>
      </w:pPr>
      <w:r w:rsidRPr="000B1E2A">
        <w:t xml:space="preserve">Introduction </w:t>
      </w:r>
    </w:p>
    <w:p w:rsidR="000B1E2A" w:rsidRDefault="000B1E2A" w:rsidP="000B1E2A">
      <w:r>
        <w:t>Coronavirus disease 19 (COVID-19), caused by the novel severe acute respiratory syndrome coronavirus 2 (SARS-CoV-2), was first identified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is estimated to be from 48 hours before symptoms develop until two weeks after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w:t>
      </w:r>
      <w:r w:rsidR="00C313F6">
        <w:t> </w:t>
      </w:r>
      <w:r>
        <w:t>Figure</w:t>
      </w:r>
      <w:r w:rsidR="00FC3A6B">
        <w:t> </w:t>
      </w:r>
      <w:r>
        <w:t xml:space="preserve">1. </w:t>
      </w:r>
    </w:p>
    <w:p w:rsidR="00BC6554" w:rsidRDefault="00BC6554">
      <w:pPr>
        <w:rPr>
          <w:b/>
        </w:rPr>
      </w:pPr>
      <w:r>
        <w:br w:type="page"/>
      </w:r>
    </w:p>
    <w:p w:rsidR="000B1E2A" w:rsidRDefault="000B1E2A" w:rsidP="000B1E2A">
      <w:pPr>
        <w:pStyle w:val="CDIFigures"/>
      </w:pPr>
      <w:r>
        <w:lastRenderedPageBreak/>
        <w:t>Figure 1: Severity spectrum of COVID-19 cases and data sources used to measure severity in Australia</w:t>
      </w:r>
    </w:p>
    <w:p w:rsidR="000B1E2A" w:rsidRDefault="000B1E2A">
      <w:pPr>
        <w:rPr>
          <w:rFonts w:eastAsia="Times New Roman"/>
        </w:rPr>
      </w:pPr>
      <w:r>
        <w:rPr>
          <w:rFonts w:eastAsia="Times New Roman"/>
          <w:noProof/>
        </w:rPr>
        <w:drawing>
          <wp:inline distT="0" distB="0" distL="0" distR="0">
            <wp:extent cx="6629400" cy="4058278"/>
            <wp:effectExtent l="0" t="0" r="0" b="0"/>
            <wp:docPr id="10" name="Picture 10"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40173" cy="4064873"/>
                    </a:xfrm>
                    <a:prstGeom prst="rect">
                      <a:avLst/>
                    </a:prstGeom>
                  </pic:spPr>
                </pic:pic>
              </a:graphicData>
            </a:graphic>
          </wp:inline>
        </w:drawing>
      </w:r>
    </w:p>
    <w:p w:rsidR="000B1E2A" w:rsidRDefault="000B1E2A" w:rsidP="000B1E2A">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012838">
        <w:rPr>
          <w:rStyle w:val="Emphasis"/>
          <w:b w:val="0"/>
        </w:rPr>
        <w:t>,</w:t>
      </w:r>
      <w:r>
        <w:rPr>
          <w:vertAlign w:val="superscript"/>
        </w:rPr>
        <w:t xml:space="preserve">4 </w:t>
      </w:r>
      <w:r>
        <w:t xml:space="preserve">which describes a national approach for disease surveillance for COVID-19 and its causative agent, SARS-CoV-2. </w:t>
      </w:r>
    </w:p>
    <w:p w:rsidR="000B1E2A" w:rsidRPr="000B1E2A" w:rsidRDefault="000B1E2A" w:rsidP="000B1E2A">
      <w:pPr>
        <w:pStyle w:val="Heading1"/>
      </w:pPr>
      <w:r w:rsidRPr="000B1E2A">
        <w:t xml:space="preserve">Data sources </w:t>
      </w:r>
    </w:p>
    <w:p w:rsidR="000B1E2A" w:rsidRDefault="000B1E2A" w:rsidP="007007C8">
      <w:pPr>
        <w:pStyle w:val="Heading2"/>
        <w:rPr>
          <w:rFonts w:eastAsia="Times New Roman"/>
        </w:rPr>
      </w:pPr>
      <w:r>
        <w:rPr>
          <w:rFonts w:eastAsia="Times New Roman"/>
        </w:rPr>
        <w:t xml:space="preserve">Notifications to health departments </w:t>
      </w:r>
    </w:p>
    <w:p w:rsidR="000B1E2A" w:rsidRDefault="000B1E2A" w:rsidP="000B1E2A">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012838">
        <w:rPr>
          <w:rStyle w:val="Emphasis"/>
          <w:b w:val="0"/>
        </w:rPr>
        <w:t>National Health Security Act (2007)</w:t>
      </w:r>
      <w:r>
        <w:t>. Accordingly, all jurisdictions report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8 December 2020 for notifications received up to 6 December 2020. Data for COVID-19 deaths notified in this reporting period were extracted from daily notifications from state and territory health departments to the National Incident Room (NIR), received up to 6 December 2020. </w:t>
      </w:r>
    </w:p>
    <w:p w:rsidR="000B1E2A" w:rsidRPr="00DA067E" w:rsidRDefault="000B1E2A" w:rsidP="00DA067E">
      <w:pPr>
        <w:pStyle w:val="Heading2"/>
      </w:pPr>
      <w:r w:rsidRPr="00DA067E">
        <w:lastRenderedPageBreak/>
        <w:t xml:space="preserve">Acute respiratory illness </w:t>
      </w:r>
    </w:p>
    <w:p w:rsidR="000B1E2A" w:rsidRDefault="000B1E2A" w:rsidP="00DA067E">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r>
        <w:rPr>
          <w:vertAlign w:val="superscript"/>
        </w:rPr>
        <w:t>10</w:t>
      </w:r>
      <w:r>
        <w:t xml:space="preserve"> the Commonwealth General Practice (GP) Respiratory Clinics, and the Australian Sentinel Practice Research Network (ASPREN) and Victorian Sentinel Practice Influenza Network (VicSPIN) GP sentinel surveillance systems. These systems capture data on any respiratory illness experienced by participants, including pathogens such as SARS-CoV-2. </w:t>
      </w:r>
    </w:p>
    <w:p w:rsidR="000B1E2A" w:rsidRPr="00DA067E" w:rsidRDefault="000B1E2A" w:rsidP="00DA067E">
      <w:pPr>
        <w:pStyle w:val="Heading2"/>
      </w:pPr>
      <w:r w:rsidRPr="00DA067E">
        <w:t xml:space="preserve">Hospitalisations </w:t>
      </w:r>
    </w:p>
    <w:p w:rsidR="000B1E2A" w:rsidRDefault="000B1E2A" w:rsidP="00DA067E">
      <w:r>
        <w:t>To report on COVID-19 disease severity, we draw on hospitalisations and intensive care unit (ICU) admissions data provided from two sentinel surveillance systems: the Influenza Complications Alert Network (FluCAN)</w:t>
      </w:r>
      <w:r>
        <w:rPr>
          <w:vertAlign w:val="superscript"/>
        </w:rPr>
        <w:t>11</w:t>
      </w:r>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(HDUs) with COVID-19 at participating sites across Australia. Data presented from both sentinel surveillance systems may be subject to retrospective adjustments following publication. Data on severity is presented in the report each four weeks, rather than on a fortnightly basis. </w:t>
      </w:r>
    </w:p>
    <w:p w:rsidR="000B1E2A" w:rsidRPr="00DA067E" w:rsidRDefault="000B1E2A" w:rsidP="00DA067E">
      <w:pPr>
        <w:pStyle w:val="Heading2"/>
      </w:pPr>
      <w:r w:rsidRPr="00DA067E">
        <w:t xml:space="preserve">Viral genomics </w:t>
      </w:r>
    </w:p>
    <w:p w:rsidR="000B1E2A" w:rsidRDefault="000B1E2A" w:rsidP="00DA067E">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Nextstrain platform, which uses virus sequence data from GISAID to track the global evolution and spread of SARS-CoV-2.</w:t>
      </w:r>
      <w:r>
        <w:rPr>
          <w:vertAlign w:val="superscript"/>
        </w:rPr>
        <w:t xml:space="preserve">14 </w:t>
      </w:r>
    </w:p>
    <w:p w:rsidR="000B1E2A" w:rsidRPr="00DA067E" w:rsidRDefault="000B1E2A" w:rsidP="00DA067E">
      <w:pPr>
        <w:pStyle w:val="Heading2"/>
      </w:pPr>
      <w:r w:rsidRPr="00DA067E">
        <w:t xml:space="preserve">Testing data </w:t>
      </w:r>
    </w:p>
    <w:p w:rsidR="000B1E2A" w:rsidRDefault="000B1E2A" w:rsidP="00DA067E">
      <w:r>
        <w:t xml:space="preserve">Aggregated testing data were reported daily to the NIR by jurisdictions. Testing data by demographic breakdown were also reported on a weekly basis by jurisdictions. </w:t>
      </w:r>
    </w:p>
    <w:p w:rsidR="000B1E2A" w:rsidRPr="00DA067E" w:rsidRDefault="000B1E2A" w:rsidP="00DA067E">
      <w:pPr>
        <w:pStyle w:val="Heading2"/>
      </w:pPr>
      <w:r w:rsidRPr="00DA067E">
        <w:t xml:space="preserve">Denominators </w:t>
      </w:r>
    </w:p>
    <w:p w:rsidR="000B1E2A" w:rsidRDefault="000B1E2A" w:rsidP="00DA067E">
      <w:r>
        <w:t xml:space="preserve">We used population data from the Australian Bureau of Statistics (ABS) Estimated Resident Population (as at 30 December 2019) to estimate rates of infection by jurisdiction, age group, sex and Indigenous status. </w:t>
      </w:r>
    </w:p>
    <w:p w:rsidR="000B1E2A" w:rsidRPr="00DA067E" w:rsidRDefault="000B1E2A" w:rsidP="00DA067E">
      <w:pPr>
        <w:pStyle w:val="Heading2"/>
      </w:pPr>
      <w:r w:rsidRPr="00DA067E">
        <w:t xml:space="preserve">International </w:t>
      </w:r>
    </w:p>
    <w:p w:rsidR="000B1E2A" w:rsidRDefault="000B1E2A" w:rsidP="00DA067E">
      <w:r>
        <w:t>All data reported in the international section were extracted from the World Health Organization (WHO) Dashboard on 6 December 2020 unless otherwise specified.</w:t>
      </w:r>
      <w:r>
        <w:rPr>
          <w:vertAlign w:val="superscript"/>
        </w:rPr>
        <w:t>15</w:t>
      </w:r>
      <w:r>
        <w:t xml:space="preserve"> </w:t>
      </w:r>
    </w:p>
    <w:p w:rsidR="000B1E2A" w:rsidRPr="00DA067E" w:rsidRDefault="000B1E2A" w:rsidP="00DA067E">
      <w:pPr>
        <w:pStyle w:val="Heading1"/>
      </w:pPr>
      <w:r w:rsidRPr="00DA067E">
        <w:t xml:space="preserve">Activity </w:t>
      </w:r>
    </w:p>
    <w:p w:rsidR="005B3657" w:rsidRDefault="005B3657" w:rsidP="005B3657">
      <w:pPr>
        <w:pStyle w:val="Heading2"/>
        <w:rPr>
          <w:rFonts w:eastAsia="Times New Roman"/>
        </w:rPr>
      </w:pPr>
      <w:r>
        <w:rPr>
          <w:rFonts w:eastAsia="Times New Roman"/>
        </w:rPr>
        <w:t>Acute respiratory illness</w:t>
      </w:r>
    </w:p>
    <w:p w:rsidR="000B1E2A" w:rsidRPr="005B3657" w:rsidRDefault="000B1E2A" w:rsidP="005B3657">
      <w:pPr>
        <w:pStyle w:val="Heading3"/>
        <w:rPr>
          <w:rFonts w:eastAsia="Times New Roman"/>
          <w:i/>
        </w:rPr>
      </w:pPr>
      <w:r w:rsidRPr="005B3657">
        <w:rPr>
          <w:rFonts w:eastAsia="Times New Roman"/>
          <w:i/>
        </w:rPr>
        <w:t xml:space="preserve">(FluTracking and Commonwealth Respiratory Clinics) </w:t>
      </w:r>
    </w:p>
    <w:p w:rsidR="000B1E2A" w:rsidRDefault="00F22074" w:rsidP="00DA067E">
      <w:r w:rsidRPr="00F22074">
        <w:t>Based on self-reported FluTracking data, prevalence of fever and cough in the community remains low (Figure 2). Runny nose and sore throat symptoms in the community was stable during this reporting period and the prevalence in the</w:t>
      </w:r>
      <w:r>
        <w:t xml:space="preserve"> community remained around 0.5%</w:t>
      </w:r>
      <w:r w:rsidR="000B1E2A">
        <w:t>.</w:t>
      </w:r>
    </w:p>
    <w:p w:rsidR="00BC6554" w:rsidRDefault="00BC6554">
      <w:pPr>
        <w:rPr>
          <w:b/>
        </w:rPr>
      </w:pPr>
      <w:r>
        <w:br w:type="page"/>
      </w:r>
    </w:p>
    <w:p w:rsidR="00AA5CD1" w:rsidRPr="00BC6554" w:rsidRDefault="00AA5CD1" w:rsidP="00AA5CD1">
      <w:pPr>
        <w:pStyle w:val="CDIFigures"/>
      </w:pPr>
      <w:r w:rsidRPr="00BC6554">
        <w:lastRenderedPageBreak/>
        <w:t>Table 1: COVID-19 notifications by jurisdiction and source of acquisition,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The majority of new COVID-19 notifications (59/109) have been reported in New South Wales,  57 of which were acquired overseas, and one each under investigation and locally acquired but with unknown source.  Queensland reported 17 cases, 16 of them overseas acquired and one under investigation. Western Australia reported 16 cases, the Northern Territory 12 cases and the Australian Capital Territory one case, with all cases in these three jurisdictions overseas acquired. South Australia reported four cases, all locally acquired with source known. No cases were reported from Tasmania or Victoria."/>
      </w:tblPr>
      <w:tblGrid>
        <w:gridCol w:w="2353"/>
        <w:gridCol w:w="857"/>
        <w:gridCol w:w="858"/>
        <w:gridCol w:w="857"/>
        <w:gridCol w:w="858"/>
        <w:gridCol w:w="858"/>
        <w:gridCol w:w="857"/>
        <w:gridCol w:w="858"/>
        <w:gridCol w:w="858"/>
        <w:gridCol w:w="1226"/>
      </w:tblGrid>
      <w:tr w:rsidR="00AA5CD1" w:rsidRPr="00BC6554" w:rsidTr="00AA5CD1">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AA5CD1" w:rsidRPr="00BC6554" w:rsidRDefault="00AA5CD1" w:rsidP="00E454E8">
            <w:pPr>
              <w:pStyle w:val="NormalWeb"/>
              <w:rPr>
                <w:color w:val="FFFFFF" w:themeColor="background1"/>
              </w:rPr>
            </w:pPr>
            <w:r w:rsidRPr="00BC6554">
              <w:rPr>
                <w:color w:val="FFFFFF" w:themeColor="background1"/>
              </w:rPr>
              <w:t>Source</w:t>
            </w:r>
          </w:p>
        </w:tc>
        <w:tc>
          <w:tcPr>
            <w:tcW w:w="857" w:type="dxa"/>
            <w:hideMark/>
          </w:tcPr>
          <w:p w:rsidR="00AA5CD1" w:rsidRPr="00BC6554" w:rsidRDefault="00AA5CD1" w:rsidP="00E454E8">
            <w:pPr>
              <w:pStyle w:val="NormalWeb"/>
              <w:jc w:val="center"/>
              <w:rPr>
                <w:color w:val="FFFFFF" w:themeColor="background1"/>
              </w:rPr>
            </w:pPr>
            <w:r w:rsidRPr="00BC6554">
              <w:rPr>
                <w:color w:val="FFFFFF" w:themeColor="background1"/>
              </w:rPr>
              <w:t>NSW</w:t>
            </w:r>
          </w:p>
        </w:tc>
        <w:tc>
          <w:tcPr>
            <w:tcW w:w="858" w:type="dxa"/>
            <w:hideMark/>
          </w:tcPr>
          <w:p w:rsidR="00AA5CD1" w:rsidRPr="00BC6554" w:rsidRDefault="00AA5CD1" w:rsidP="00E454E8">
            <w:pPr>
              <w:pStyle w:val="NormalWeb"/>
              <w:jc w:val="center"/>
              <w:rPr>
                <w:color w:val="FFFFFF" w:themeColor="background1"/>
              </w:rPr>
            </w:pPr>
            <w:r w:rsidRPr="00BC6554">
              <w:rPr>
                <w:color w:val="FFFFFF" w:themeColor="background1"/>
              </w:rPr>
              <w:t>Vic.</w:t>
            </w:r>
          </w:p>
        </w:tc>
        <w:tc>
          <w:tcPr>
            <w:tcW w:w="857" w:type="dxa"/>
            <w:hideMark/>
          </w:tcPr>
          <w:p w:rsidR="00AA5CD1" w:rsidRPr="00BC6554" w:rsidRDefault="00AA5CD1" w:rsidP="00E454E8">
            <w:pPr>
              <w:pStyle w:val="NormalWeb"/>
              <w:jc w:val="center"/>
              <w:rPr>
                <w:color w:val="FFFFFF" w:themeColor="background1"/>
              </w:rPr>
            </w:pPr>
            <w:r w:rsidRPr="00BC6554">
              <w:rPr>
                <w:color w:val="FFFFFF" w:themeColor="background1"/>
              </w:rPr>
              <w:t>Qld</w:t>
            </w:r>
          </w:p>
        </w:tc>
        <w:tc>
          <w:tcPr>
            <w:tcW w:w="858" w:type="dxa"/>
            <w:hideMark/>
          </w:tcPr>
          <w:p w:rsidR="00AA5CD1" w:rsidRPr="00BC6554" w:rsidRDefault="00AA5CD1" w:rsidP="00E454E8">
            <w:pPr>
              <w:pStyle w:val="NormalWeb"/>
              <w:jc w:val="center"/>
              <w:rPr>
                <w:color w:val="FFFFFF" w:themeColor="background1"/>
              </w:rPr>
            </w:pPr>
            <w:r w:rsidRPr="00BC6554">
              <w:rPr>
                <w:color w:val="FFFFFF" w:themeColor="background1"/>
              </w:rPr>
              <w:t>WA</w:t>
            </w:r>
          </w:p>
        </w:tc>
        <w:tc>
          <w:tcPr>
            <w:tcW w:w="858" w:type="dxa"/>
            <w:hideMark/>
          </w:tcPr>
          <w:p w:rsidR="00AA5CD1" w:rsidRPr="00BC6554" w:rsidRDefault="00AA5CD1" w:rsidP="00E454E8">
            <w:pPr>
              <w:pStyle w:val="NormalWeb"/>
              <w:jc w:val="center"/>
              <w:rPr>
                <w:color w:val="FFFFFF" w:themeColor="background1"/>
              </w:rPr>
            </w:pPr>
            <w:r w:rsidRPr="00BC6554">
              <w:rPr>
                <w:color w:val="FFFFFF" w:themeColor="background1"/>
              </w:rPr>
              <w:t>SA</w:t>
            </w:r>
          </w:p>
        </w:tc>
        <w:tc>
          <w:tcPr>
            <w:tcW w:w="857" w:type="dxa"/>
            <w:hideMark/>
          </w:tcPr>
          <w:p w:rsidR="00AA5CD1" w:rsidRPr="00BC6554" w:rsidRDefault="00AA5CD1" w:rsidP="00E454E8">
            <w:pPr>
              <w:pStyle w:val="NormalWeb"/>
              <w:jc w:val="center"/>
              <w:rPr>
                <w:color w:val="FFFFFF" w:themeColor="background1"/>
              </w:rPr>
            </w:pPr>
            <w:r w:rsidRPr="00BC6554">
              <w:rPr>
                <w:color w:val="FFFFFF" w:themeColor="background1"/>
              </w:rPr>
              <w:t>Tas.</w:t>
            </w:r>
          </w:p>
        </w:tc>
        <w:tc>
          <w:tcPr>
            <w:tcW w:w="858" w:type="dxa"/>
            <w:hideMark/>
          </w:tcPr>
          <w:p w:rsidR="00AA5CD1" w:rsidRPr="00BC6554" w:rsidRDefault="00AA5CD1" w:rsidP="00E454E8">
            <w:pPr>
              <w:pStyle w:val="NormalWeb"/>
              <w:jc w:val="center"/>
              <w:rPr>
                <w:color w:val="FFFFFF" w:themeColor="background1"/>
              </w:rPr>
            </w:pPr>
            <w:r w:rsidRPr="00BC6554">
              <w:rPr>
                <w:color w:val="FFFFFF" w:themeColor="background1"/>
              </w:rPr>
              <w:t>NT</w:t>
            </w:r>
          </w:p>
        </w:tc>
        <w:tc>
          <w:tcPr>
            <w:tcW w:w="858" w:type="dxa"/>
            <w:hideMark/>
          </w:tcPr>
          <w:p w:rsidR="00AA5CD1" w:rsidRPr="00BC6554" w:rsidRDefault="00AA5CD1" w:rsidP="00E454E8">
            <w:pPr>
              <w:pStyle w:val="NormalWeb"/>
              <w:jc w:val="center"/>
              <w:rPr>
                <w:color w:val="FFFFFF" w:themeColor="background1"/>
              </w:rPr>
            </w:pPr>
            <w:r w:rsidRPr="00BC6554">
              <w:rPr>
                <w:color w:val="FFFFFF" w:themeColor="background1"/>
              </w:rPr>
              <w:t>ACT</w:t>
            </w:r>
          </w:p>
        </w:tc>
        <w:tc>
          <w:tcPr>
            <w:tcW w:w="1226" w:type="dxa"/>
            <w:hideMark/>
          </w:tcPr>
          <w:p w:rsidR="00AA5CD1" w:rsidRPr="00BC6554" w:rsidRDefault="00AA5CD1" w:rsidP="00E454E8">
            <w:pPr>
              <w:pStyle w:val="NormalWeb"/>
              <w:jc w:val="center"/>
              <w:rPr>
                <w:color w:val="FFFFFF" w:themeColor="background1"/>
              </w:rPr>
            </w:pPr>
            <w:r w:rsidRPr="00BC6554">
              <w:rPr>
                <w:color w:val="FFFFFF" w:themeColor="background1"/>
                <w:lang w:val="en-US"/>
              </w:rPr>
              <w:t>Australia</w:t>
            </w:r>
          </w:p>
        </w:tc>
      </w:tr>
      <w:tr w:rsidR="00AA5CD1" w:rsidTr="00AA5CD1">
        <w:tc>
          <w:tcPr>
            <w:tcW w:w="0" w:type="auto"/>
            <w:hideMark/>
          </w:tcPr>
          <w:p w:rsidR="00AA5CD1" w:rsidRDefault="00AA5CD1" w:rsidP="00E454E8">
            <w:pPr>
              <w:pStyle w:val="NormalWeb"/>
            </w:pPr>
            <w:r>
              <w:t>Overseas</w:t>
            </w:r>
          </w:p>
        </w:tc>
        <w:tc>
          <w:tcPr>
            <w:tcW w:w="857" w:type="dxa"/>
            <w:hideMark/>
          </w:tcPr>
          <w:p w:rsidR="00AA5CD1" w:rsidRDefault="00C35FF7" w:rsidP="00E454E8">
            <w:pPr>
              <w:pStyle w:val="NormalWeb"/>
              <w:jc w:val="center"/>
            </w:pPr>
            <w:r>
              <w:t>58</w:t>
            </w:r>
          </w:p>
        </w:tc>
        <w:tc>
          <w:tcPr>
            <w:tcW w:w="858" w:type="dxa"/>
            <w:hideMark/>
          </w:tcPr>
          <w:p w:rsidR="00AA5CD1" w:rsidRDefault="00AA5CD1" w:rsidP="00E454E8">
            <w:pPr>
              <w:pStyle w:val="NormalWeb"/>
              <w:jc w:val="center"/>
            </w:pPr>
            <w:r>
              <w:t>0</w:t>
            </w:r>
          </w:p>
        </w:tc>
        <w:tc>
          <w:tcPr>
            <w:tcW w:w="857" w:type="dxa"/>
            <w:hideMark/>
          </w:tcPr>
          <w:p w:rsidR="00AA5CD1" w:rsidRDefault="00AA5CD1" w:rsidP="00E454E8">
            <w:pPr>
              <w:pStyle w:val="NormalWeb"/>
              <w:jc w:val="center"/>
            </w:pPr>
            <w:r>
              <w:t>16</w:t>
            </w:r>
          </w:p>
        </w:tc>
        <w:tc>
          <w:tcPr>
            <w:tcW w:w="858" w:type="dxa"/>
            <w:hideMark/>
          </w:tcPr>
          <w:p w:rsidR="00AA5CD1" w:rsidRDefault="00AA5CD1" w:rsidP="00E454E8">
            <w:pPr>
              <w:pStyle w:val="NormalWeb"/>
              <w:jc w:val="center"/>
            </w:pPr>
            <w:r>
              <w:t>16</w:t>
            </w:r>
          </w:p>
        </w:tc>
        <w:tc>
          <w:tcPr>
            <w:tcW w:w="858" w:type="dxa"/>
            <w:hideMark/>
          </w:tcPr>
          <w:p w:rsidR="00AA5CD1" w:rsidRDefault="00AA5CD1" w:rsidP="00E454E8">
            <w:pPr>
              <w:pStyle w:val="NormalWeb"/>
              <w:jc w:val="center"/>
            </w:pPr>
            <w:r>
              <w:t>0</w:t>
            </w:r>
          </w:p>
        </w:tc>
        <w:tc>
          <w:tcPr>
            <w:tcW w:w="857"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12</w:t>
            </w:r>
          </w:p>
        </w:tc>
        <w:tc>
          <w:tcPr>
            <w:tcW w:w="858" w:type="dxa"/>
            <w:hideMark/>
          </w:tcPr>
          <w:p w:rsidR="00AA5CD1" w:rsidRDefault="00AA5CD1" w:rsidP="00E454E8">
            <w:pPr>
              <w:pStyle w:val="NormalWeb"/>
              <w:jc w:val="center"/>
            </w:pPr>
            <w:r>
              <w:t>1</w:t>
            </w:r>
          </w:p>
        </w:tc>
        <w:tc>
          <w:tcPr>
            <w:tcW w:w="1226" w:type="dxa"/>
            <w:hideMark/>
          </w:tcPr>
          <w:p w:rsidR="00AA5CD1" w:rsidRDefault="00AA5CD1" w:rsidP="00C35FF7">
            <w:pPr>
              <w:pStyle w:val="NormalWeb"/>
              <w:jc w:val="center"/>
            </w:pPr>
            <w:r>
              <w:t>10</w:t>
            </w:r>
            <w:r w:rsidR="00C35FF7">
              <w:t>3</w:t>
            </w:r>
          </w:p>
        </w:tc>
      </w:tr>
      <w:tr w:rsidR="00AA5CD1" w:rsidTr="00AA5CD1">
        <w:trPr>
          <w:cnfStyle w:val="000000010000" w:firstRow="0" w:lastRow="0" w:firstColumn="0" w:lastColumn="0" w:oddVBand="0" w:evenVBand="0" w:oddHBand="0" w:evenHBand="1" w:firstRowFirstColumn="0" w:firstRowLastColumn="0" w:lastRowFirstColumn="0" w:lastRowLastColumn="0"/>
        </w:trPr>
        <w:tc>
          <w:tcPr>
            <w:tcW w:w="0" w:type="auto"/>
            <w:hideMark/>
          </w:tcPr>
          <w:p w:rsidR="00AA5CD1" w:rsidRDefault="00AA5CD1" w:rsidP="00E454E8">
            <w:pPr>
              <w:pStyle w:val="NormalWeb"/>
            </w:pPr>
            <w:r>
              <w:t>Local — source known</w:t>
            </w:r>
          </w:p>
        </w:tc>
        <w:tc>
          <w:tcPr>
            <w:tcW w:w="857"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857"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4</w:t>
            </w:r>
          </w:p>
        </w:tc>
        <w:tc>
          <w:tcPr>
            <w:tcW w:w="857"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1226" w:type="dxa"/>
            <w:hideMark/>
          </w:tcPr>
          <w:p w:rsidR="00AA5CD1" w:rsidRDefault="00AA5CD1" w:rsidP="00E454E8">
            <w:pPr>
              <w:pStyle w:val="NormalWeb"/>
              <w:jc w:val="center"/>
            </w:pPr>
            <w:r>
              <w:t>4</w:t>
            </w:r>
          </w:p>
        </w:tc>
      </w:tr>
      <w:tr w:rsidR="00AA5CD1" w:rsidTr="00AA5CD1">
        <w:tc>
          <w:tcPr>
            <w:tcW w:w="0" w:type="auto"/>
            <w:hideMark/>
          </w:tcPr>
          <w:p w:rsidR="00AA5CD1" w:rsidRDefault="00AA5CD1" w:rsidP="00E454E8">
            <w:pPr>
              <w:pStyle w:val="NormalWeb"/>
            </w:pPr>
            <w:r>
              <w:t>Local — source unknown</w:t>
            </w:r>
          </w:p>
        </w:tc>
        <w:tc>
          <w:tcPr>
            <w:tcW w:w="857" w:type="dxa"/>
            <w:hideMark/>
          </w:tcPr>
          <w:p w:rsidR="00AA5CD1" w:rsidRDefault="00AA5CD1" w:rsidP="00E454E8">
            <w:pPr>
              <w:pStyle w:val="NormalWeb"/>
              <w:jc w:val="center"/>
            </w:pPr>
            <w:r>
              <w:t>1</w:t>
            </w:r>
          </w:p>
        </w:tc>
        <w:tc>
          <w:tcPr>
            <w:tcW w:w="858" w:type="dxa"/>
            <w:hideMark/>
          </w:tcPr>
          <w:p w:rsidR="00AA5CD1" w:rsidRDefault="00AA5CD1" w:rsidP="00E454E8">
            <w:pPr>
              <w:pStyle w:val="NormalWeb"/>
              <w:jc w:val="center"/>
            </w:pPr>
            <w:r>
              <w:t>0</w:t>
            </w:r>
          </w:p>
        </w:tc>
        <w:tc>
          <w:tcPr>
            <w:tcW w:w="857"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857"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1226" w:type="dxa"/>
            <w:hideMark/>
          </w:tcPr>
          <w:p w:rsidR="00AA5CD1" w:rsidRDefault="00AA5CD1" w:rsidP="00E454E8">
            <w:pPr>
              <w:pStyle w:val="NormalWeb"/>
              <w:jc w:val="center"/>
            </w:pPr>
            <w:r>
              <w:t>1</w:t>
            </w:r>
          </w:p>
        </w:tc>
      </w:tr>
      <w:tr w:rsidR="00AA5CD1" w:rsidTr="00AA5CD1">
        <w:trPr>
          <w:cnfStyle w:val="000000010000" w:firstRow="0" w:lastRow="0" w:firstColumn="0" w:lastColumn="0" w:oddVBand="0" w:evenVBand="0" w:oddHBand="0" w:evenHBand="1" w:firstRowFirstColumn="0" w:firstRowLastColumn="0" w:lastRowFirstColumn="0" w:lastRowLastColumn="0"/>
        </w:trPr>
        <w:tc>
          <w:tcPr>
            <w:tcW w:w="0" w:type="auto"/>
            <w:hideMark/>
          </w:tcPr>
          <w:p w:rsidR="00AA5CD1" w:rsidRDefault="00AA5CD1" w:rsidP="00E454E8">
            <w:pPr>
              <w:pStyle w:val="NormalWeb"/>
            </w:pPr>
            <w:r>
              <w:t>Under investigation</w:t>
            </w:r>
          </w:p>
        </w:tc>
        <w:tc>
          <w:tcPr>
            <w:tcW w:w="857" w:type="dxa"/>
            <w:hideMark/>
          </w:tcPr>
          <w:p w:rsidR="00AA5CD1" w:rsidRDefault="00C35FF7" w:rsidP="00E454E8">
            <w:pPr>
              <w:pStyle w:val="NormalWeb"/>
              <w:jc w:val="center"/>
            </w:pPr>
            <w:r>
              <w:t>0</w:t>
            </w:r>
          </w:p>
        </w:tc>
        <w:tc>
          <w:tcPr>
            <w:tcW w:w="858" w:type="dxa"/>
            <w:hideMark/>
          </w:tcPr>
          <w:p w:rsidR="00AA5CD1" w:rsidRDefault="00AA5CD1" w:rsidP="00E454E8">
            <w:pPr>
              <w:pStyle w:val="NormalWeb"/>
              <w:jc w:val="center"/>
            </w:pPr>
            <w:r>
              <w:t>0</w:t>
            </w:r>
          </w:p>
        </w:tc>
        <w:tc>
          <w:tcPr>
            <w:tcW w:w="857" w:type="dxa"/>
            <w:hideMark/>
          </w:tcPr>
          <w:p w:rsidR="00AA5CD1" w:rsidRDefault="00AA5CD1" w:rsidP="00E454E8">
            <w:pPr>
              <w:pStyle w:val="NormalWeb"/>
              <w:jc w:val="center"/>
            </w:pPr>
            <w:r>
              <w:t>1</w:t>
            </w:r>
          </w:p>
        </w:tc>
        <w:tc>
          <w:tcPr>
            <w:tcW w:w="858"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857"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858" w:type="dxa"/>
            <w:hideMark/>
          </w:tcPr>
          <w:p w:rsidR="00AA5CD1" w:rsidRDefault="00AA5CD1" w:rsidP="00E454E8">
            <w:pPr>
              <w:pStyle w:val="NormalWeb"/>
              <w:jc w:val="center"/>
            </w:pPr>
            <w:r>
              <w:t>0</w:t>
            </w:r>
          </w:p>
        </w:tc>
        <w:tc>
          <w:tcPr>
            <w:tcW w:w="1226" w:type="dxa"/>
            <w:hideMark/>
          </w:tcPr>
          <w:p w:rsidR="00AA5CD1" w:rsidRDefault="00C35FF7" w:rsidP="00E454E8">
            <w:pPr>
              <w:pStyle w:val="NormalWeb"/>
              <w:jc w:val="center"/>
            </w:pPr>
            <w:r>
              <w:t>1</w:t>
            </w:r>
          </w:p>
        </w:tc>
      </w:tr>
      <w:tr w:rsidR="00AA5CD1" w:rsidRPr="00BC6554" w:rsidTr="00AA5CD1">
        <w:tc>
          <w:tcPr>
            <w:tcW w:w="0" w:type="auto"/>
            <w:shd w:val="clear" w:color="auto" w:fill="FDE9D9" w:themeFill="accent6" w:themeFillTint="33"/>
            <w:hideMark/>
          </w:tcPr>
          <w:p w:rsidR="00AA5CD1" w:rsidRPr="00BC6554" w:rsidRDefault="00AA5CD1" w:rsidP="00E454E8">
            <w:pPr>
              <w:pStyle w:val="NormalWeb"/>
              <w:rPr>
                <w:b/>
              </w:rPr>
            </w:pPr>
            <w:r w:rsidRPr="00BC6554">
              <w:rPr>
                <w:b/>
              </w:rPr>
              <w:t>Total</w:t>
            </w:r>
          </w:p>
        </w:tc>
        <w:tc>
          <w:tcPr>
            <w:tcW w:w="857" w:type="dxa"/>
            <w:shd w:val="clear" w:color="auto" w:fill="FDE9D9" w:themeFill="accent6" w:themeFillTint="33"/>
            <w:hideMark/>
          </w:tcPr>
          <w:p w:rsidR="00AA5CD1" w:rsidRPr="00BC6554" w:rsidRDefault="00AA5CD1" w:rsidP="00E454E8">
            <w:pPr>
              <w:pStyle w:val="NormalWeb"/>
              <w:jc w:val="center"/>
              <w:rPr>
                <w:b/>
              </w:rPr>
            </w:pPr>
            <w:r w:rsidRPr="00BC6554">
              <w:rPr>
                <w:b/>
              </w:rPr>
              <w:t>59</w:t>
            </w:r>
          </w:p>
        </w:tc>
        <w:tc>
          <w:tcPr>
            <w:tcW w:w="858" w:type="dxa"/>
            <w:shd w:val="clear" w:color="auto" w:fill="FDE9D9" w:themeFill="accent6" w:themeFillTint="33"/>
            <w:hideMark/>
          </w:tcPr>
          <w:p w:rsidR="00AA5CD1" w:rsidRPr="00BC6554" w:rsidRDefault="00AA5CD1" w:rsidP="00E454E8">
            <w:pPr>
              <w:pStyle w:val="NormalWeb"/>
              <w:jc w:val="center"/>
              <w:rPr>
                <w:b/>
              </w:rPr>
            </w:pPr>
            <w:r w:rsidRPr="00BC6554">
              <w:rPr>
                <w:b/>
              </w:rPr>
              <w:t>0</w:t>
            </w:r>
          </w:p>
        </w:tc>
        <w:tc>
          <w:tcPr>
            <w:tcW w:w="857" w:type="dxa"/>
            <w:shd w:val="clear" w:color="auto" w:fill="FDE9D9" w:themeFill="accent6" w:themeFillTint="33"/>
            <w:hideMark/>
          </w:tcPr>
          <w:p w:rsidR="00AA5CD1" w:rsidRPr="00BC6554" w:rsidRDefault="00AA5CD1" w:rsidP="00E454E8">
            <w:pPr>
              <w:pStyle w:val="NormalWeb"/>
              <w:jc w:val="center"/>
              <w:rPr>
                <w:b/>
              </w:rPr>
            </w:pPr>
            <w:r w:rsidRPr="00BC6554">
              <w:rPr>
                <w:b/>
              </w:rPr>
              <w:t>17</w:t>
            </w:r>
          </w:p>
        </w:tc>
        <w:tc>
          <w:tcPr>
            <w:tcW w:w="858" w:type="dxa"/>
            <w:shd w:val="clear" w:color="auto" w:fill="FDE9D9" w:themeFill="accent6" w:themeFillTint="33"/>
            <w:hideMark/>
          </w:tcPr>
          <w:p w:rsidR="00AA5CD1" w:rsidRPr="00BC6554" w:rsidRDefault="00AA5CD1" w:rsidP="00E454E8">
            <w:pPr>
              <w:pStyle w:val="NormalWeb"/>
              <w:jc w:val="center"/>
              <w:rPr>
                <w:b/>
              </w:rPr>
            </w:pPr>
            <w:r w:rsidRPr="00BC6554">
              <w:rPr>
                <w:b/>
              </w:rPr>
              <w:t>16</w:t>
            </w:r>
          </w:p>
        </w:tc>
        <w:tc>
          <w:tcPr>
            <w:tcW w:w="858" w:type="dxa"/>
            <w:shd w:val="clear" w:color="auto" w:fill="FDE9D9" w:themeFill="accent6" w:themeFillTint="33"/>
            <w:hideMark/>
          </w:tcPr>
          <w:p w:rsidR="00AA5CD1" w:rsidRPr="00BC6554" w:rsidRDefault="00AA5CD1" w:rsidP="00E454E8">
            <w:pPr>
              <w:pStyle w:val="NormalWeb"/>
              <w:jc w:val="center"/>
              <w:rPr>
                <w:b/>
              </w:rPr>
            </w:pPr>
            <w:r w:rsidRPr="00BC6554">
              <w:rPr>
                <w:b/>
              </w:rPr>
              <w:t>4</w:t>
            </w:r>
          </w:p>
        </w:tc>
        <w:tc>
          <w:tcPr>
            <w:tcW w:w="857" w:type="dxa"/>
            <w:shd w:val="clear" w:color="auto" w:fill="FDE9D9" w:themeFill="accent6" w:themeFillTint="33"/>
            <w:hideMark/>
          </w:tcPr>
          <w:p w:rsidR="00AA5CD1" w:rsidRPr="00BC6554" w:rsidRDefault="00AA5CD1" w:rsidP="00E454E8">
            <w:pPr>
              <w:pStyle w:val="NormalWeb"/>
              <w:jc w:val="center"/>
              <w:rPr>
                <w:b/>
              </w:rPr>
            </w:pPr>
            <w:r w:rsidRPr="00BC6554">
              <w:rPr>
                <w:b/>
              </w:rPr>
              <w:t>0</w:t>
            </w:r>
          </w:p>
        </w:tc>
        <w:tc>
          <w:tcPr>
            <w:tcW w:w="858" w:type="dxa"/>
            <w:shd w:val="clear" w:color="auto" w:fill="FDE9D9" w:themeFill="accent6" w:themeFillTint="33"/>
            <w:hideMark/>
          </w:tcPr>
          <w:p w:rsidR="00AA5CD1" w:rsidRPr="00BC6554" w:rsidRDefault="00AA5CD1" w:rsidP="00E454E8">
            <w:pPr>
              <w:pStyle w:val="NormalWeb"/>
              <w:jc w:val="center"/>
              <w:rPr>
                <w:b/>
              </w:rPr>
            </w:pPr>
            <w:r w:rsidRPr="00BC6554">
              <w:rPr>
                <w:b/>
              </w:rPr>
              <w:t>12</w:t>
            </w:r>
          </w:p>
        </w:tc>
        <w:tc>
          <w:tcPr>
            <w:tcW w:w="858" w:type="dxa"/>
            <w:shd w:val="clear" w:color="auto" w:fill="FDE9D9" w:themeFill="accent6" w:themeFillTint="33"/>
            <w:hideMark/>
          </w:tcPr>
          <w:p w:rsidR="00AA5CD1" w:rsidRPr="00BC6554" w:rsidRDefault="00AA5CD1" w:rsidP="00E454E8">
            <w:pPr>
              <w:pStyle w:val="NormalWeb"/>
              <w:jc w:val="center"/>
              <w:rPr>
                <w:b/>
              </w:rPr>
            </w:pPr>
            <w:r w:rsidRPr="00BC6554">
              <w:rPr>
                <w:b/>
              </w:rPr>
              <w:t>1</w:t>
            </w:r>
          </w:p>
        </w:tc>
        <w:tc>
          <w:tcPr>
            <w:tcW w:w="1226" w:type="dxa"/>
            <w:shd w:val="clear" w:color="auto" w:fill="FDE9D9" w:themeFill="accent6" w:themeFillTint="33"/>
            <w:hideMark/>
          </w:tcPr>
          <w:p w:rsidR="00AA5CD1" w:rsidRPr="00BC6554" w:rsidRDefault="00AA5CD1" w:rsidP="00E454E8">
            <w:pPr>
              <w:pStyle w:val="NormalWeb"/>
              <w:jc w:val="center"/>
              <w:rPr>
                <w:b/>
              </w:rPr>
            </w:pPr>
            <w:r w:rsidRPr="00BC6554">
              <w:rPr>
                <w:b/>
                <w:lang w:val="en-US"/>
              </w:rPr>
              <w:t>109</w:t>
            </w:r>
          </w:p>
        </w:tc>
      </w:tr>
    </w:tbl>
    <w:p w:rsidR="000B1E2A" w:rsidRDefault="000B1E2A" w:rsidP="00DA067E">
      <w:pPr>
        <w:pStyle w:val="CDIFigures"/>
      </w:pPr>
      <w:r>
        <w:t>Table 2: Locally-acquired COVID-19 case numbers and rates per 100,000 population by jurisdiction and reporting period,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current reporting fortnight, the previous reporting fortnight, and the cumulative case numbers and rates per 100,000 population for each jurisdiction. For this reporting fortnight, there were five locally-acquired cases, four in South Australia and one in New South Wales. Victoria has the highest cumulative number of locally-acquired cases (19,360) and the highest cumulative locally-acquired case rate (293.6 cases per 100,000 population). Nationwide, the cumulative locally-acquired case rate is 87.2 cases per 100,000 population.&#10;"/>
      </w:tblPr>
      <w:tblGrid>
        <w:gridCol w:w="1156"/>
        <w:gridCol w:w="2246"/>
        <w:gridCol w:w="3119"/>
        <w:gridCol w:w="1843"/>
        <w:gridCol w:w="2076"/>
      </w:tblGrid>
      <w:tr w:rsidR="000B1E2A" w:rsidTr="00BC655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0B1E2A" w:rsidRPr="00B948AE" w:rsidRDefault="000B1E2A">
            <w:pPr>
              <w:pStyle w:val="NormalWeb"/>
              <w:rPr>
                <w:color w:val="FFFFFF" w:themeColor="background1"/>
              </w:rPr>
            </w:pPr>
            <w:r w:rsidRPr="00B948AE">
              <w:rPr>
                <w:color w:val="FFFFFF" w:themeColor="background1"/>
              </w:rPr>
              <w:t>Jurisdiction</w:t>
            </w:r>
          </w:p>
        </w:tc>
        <w:tc>
          <w:tcPr>
            <w:tcW w:w="2246" w:type="dxa"/>
            <w:tcBorders>
              <w:left w:val="single" w:sz="2" w:space="0" w:color="FFFFFF" w:themeColor="background1"/>
              <w:bottom w:val="single" w:sz="2" w:space="0" w:color="FFFFFF" w:themeColor="background1"/>
              <w:right w:val="single" w:sz="2" w:space="0" w:color="FFFFFF" w:themeColor="background1"/>
            </w:tcBorders>
            <w:hideMark/>
          </w:tcPr>
          <w:p w:rsidR="000B1E2A" w:rsidRPr="00B948AE" w:rsidRDefault="000B1E2A" w:rsidP="00B948AE">
            <w:pPr>
              <w:pStyle w:val="NormalWeb"/>
              <w:jc w:val="center"/>
              <w:rPr>
                <w:color w:val="FFFFFF" w:themeColor="background1"/>
              </w:rPr>
            </w:pPr>
            <w:r w:rsidRPr="00B948AE">
              <w:rPr>
                <w:color w:val="FFFFFF" w:themeColor="background1"/>
              </w:rPr>
              <w:t>Reporting period</w:t>
            </w:r>
          </w:p>
        </w:tc>
        <w:tc>
          <w:tcPr>
            <w:tcW w:w="3119" w:type="dxa"/>
            <w:tcBorders>
              <w:left w:val="single" w:sz="2" w:space="0" w:color="FFFFFF" w:themeColor="background1"/>
              <w:bottom w:val="single" w:sz="2" w:space="0" w:color="FFFFFF" w:themeColor="background1"/>
              <w:right w:val="single" w:sz="2" w:space="0" w:color="FFFFFF" w:themeColor="background1"/>
            </w:tcBorders>
            <w:hideMark/>
          </w:tcPr>
          <w:p w:rsidR="000B1E2A" w:rsidRPr="00B948AE" w:rsidRDefault="000B1E2A" w:rsidP="00B948AE">
            <w:pPr>
              <w:pStyle w:val="NormalWeb"/>
              <w:jc w:val="center"/>
              <w:rPr>
                <w:color w:val="FFFFFF" w:themeColor="background1"/>
              </w:rPr>
            </w:pPr>
            <w:r w:rsidRPr="00B948AE">
              <w:rPr>
                <w:color w:val="FFFFFF" w:themeColor="background1"/>
              </w:rPr>
              <w:t>Reporting period</w:t>
            </w:r>
          </w:p>
        </w:tc>
        <w:tc>
          <w:tcPr>
            <w:tcW w:w="3919" w:type="dxa"/>
            <w:gridSpan w:val="2"/>
            <w:vMerge w:val="restart"/>
            <w:tcBorders>
              <w:left w:val="single" w:sz="2" w:space="0" w:color="FFFFFF" w:themeColor="background1"/>
              <w:bottom w:val="single" w:sz="2" w:space="0" w:color="FFFFFF" w:themeColor="background1"/>
            </w:tcBorders>
            <w:hideMark/>
          </w:tcPr>
          <w:p w:rsidR="000B1E2A" w:rsidRPr="00B948AE" w:rsidRDefault="000B1E2A" w:rsidP="00B948AE">
            <w:pPr>
              <w:pStyle w:val="NormalWeb"/>
              <w:jc w:val="center"/>
              <w:rPr>
                <w:color w:val="FFFFFF" w:themeColor="background1"/>
              </w:rPr>
            </w:pPr>
            <w:r w:rsidRPr="00B948AE">
              <w:rPr>
                <w:color w:val="FFFFFF" w:themeColor="background1"/>
                <w:lang w:val="en-US"/>
              </w:rPr>
              <w:t>Cumulative cases</w:t>
            </w:r>
          </w:p>
        </w:tc>
      </w:tr>
      <w:tr w:rsidR="000B1E2A" w:rsidTr="00BC655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rsidR="000B1E2A" w:rsidRPr="00B948AE" w:rsidRDefault="000B1E2A">
            <w:pPr>
              <w:rPr>
                <w:color w:val="FFFFFF" w:themeColor="background1"/>
                <w:sz w:val="24"/>
                <w:szCs w:val="24"/>
              </w:rPr>
            </w:pPr>
          </w:p>
        </w:tc>
        <w:tc>
          <w:tcPr>
            <w:tcW w:w="22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0B1E2A" w:rsidRPr="00B948AE" w:rsidRDefault="000B1E2A" w:rsidP="00B948AE">
            <w:pPr>
              <w:pStyle w:val="NormalWeb"/>
              <w:jc w:val="center"/>
              <w:rPr>
                <w:color w:val="FFFFFF" w:themeColor="background1"/>
              </w:rPr>
            </w:pPr>
            <w:r w:rsidRPr="00B948AE">
              <w:rPr>
                <w:color w:val="FFFFFF" w:themeColor="background1"/>
              </w:rPr>
              <w:t>9–22 November</w:t>
            </w:r>
          </w:p>
        </w:tc>
        <w:tc>
          <w:tcPr>
            <w:tcW w:w="31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0B1E2A" w:rsidRPr="00B948AE" w:rsidRDefault="000B1E2A" w:rsidP="00B948AE">
            <w:pPr>
              <w:pStyle w:val="NormalWeb"/>
              <w:jc w:val="center"/>
              <w:rPr>
                <w:color w:val="FFFFFF" w:themeColor="background1"/>
              </w:rPr>
            </w:pPr>
            <w:r w:rsidRPr="00B948AE">
              <w:rPr>
                <w:color w:val="FFFFFF" w:themeColor="background1"/>
                <w:lang w:val="en-US"/>
              </w:rPr>
              <w:t>23 November – 6 December</w:t>
            </w:r>
          </w:p>
        </w:tc>
        <w:tc>
          <w:tcPr>
            <w:tcW w:w="3919" w:type="dxa"/>
            <w:gridSpan w:val="2"/>
            <w:vMerge/>
            <w:tcBorders>
              <w:top w:val="single" w:sz="2" w:space="0" w:color="FFFFFF" w:themeColor="background1"/>
              <w:left w:val="single" w:sz="2" w:space="0" w:color="FFFFFF" w:themeColor="background1"/>
              <w:bottom w:val="single" w:sz="2" w:space="0" w:color="FFFFFF" w:themeColor="background1"/>
            </w:tcBorders>
            <w:hideMark/>
          </w:tcPr>
          <w:p w:rsidR="000B1E2A" w:rsidRPr="00B948AE" w:rsidRDefault="000B1E2A" w:rsidP="00B948AE">
            <w:pPr>
              <w:jc w:val="center"/>
              <w:rPr>
                <w:color w:val="FFFFFF" w:themeColor="background1"/>
                <w:sz w:val="24"/>
                <w:szCs w:val="24"/>
              </w:rPr>
            </w:pPr>
          </w:p>
        </w:tc>
      </w:tr>
      <w:tr w:rsidR="00BC6554" w:rsidTr="00BC655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0B1E2A" w:rsidRPr="00B948AE" w:rsidRDefault="000B1E2A">
            <w:pPr>
              <w:rPr>
                <w:color w:val="FFFFFF" w:themeColor="background1"/>
                <w:sz w:val="24"/>
                <w:szCs w:val="24"/>
              </w:rPr>
            </w:pPr>
          </w:p>
        </w:tc>
        <w:tc>
          <w:tcPr>
            <w:tcW w:w="2246" w:type="dxa"/>
            <w:tcBorders>
              <w:top w:val="single" w:sz="2" w:space="0" w:color="FFFFFF" w:themeColor="background1"/>
              <w:left w:val="single" w:sz="2" w:space="0" w:color="FFFFFF" w:themeColor="background1"/>
              <w:right w:val="single" w:sz="2" w:space="0" w:color="FFFFFF" w:themeColor="background1"/>
            </w:tcBorders>
            <w:hideMark/>
          </w:tcPr>
          <w:p w:rsidR="000B1E2A" w:rsidRPr="00B948AE" w:rsidRDefault="000B1E2A" w:rsidP="00B948AE">
            <w:pPr>
              <w:pStyle w:val="NormalWeb"/>
              <w:jc w:val="center"/>
              <w:rPr>
                <w:color w:val="FFFFFF" w:themeColor="background1"/>
              </w:rPr>
            </w:pPr>
            <w:r w:rsidRPr="00B948AE">
              <w:rPr>
                <w:color w:val="FFFFFF" w:themeColor="background1"/>
              </w:rPr>
              <w:t>Number of cases</w:t>
            </w:r>
          </w:p>
        </w:tc>
        <w:tc>
          <w:tcPr>
            <w:tcW w:w="3119" w:type="dxa"/>
            <w:tcBorders>
              <w:top w:val="single" w:sz="2" w:space="0" w:color="FFFFFF" w:themeColor="background1"/>
              <w:left w:val="single" w:sz="2" w:space="0" w:color="FFFFFF" w:themeColor="background1"/>
              <w:right w:val="single" w:sz="2" w:space="0" w:color="FFFFFF" w:themeColor="background1"/>
            </w:tcBorders>
            <w:hideMark/>
          </w:tcPr>
          <w:p w:rsidR="000B1E2A" w:rsidRPr="00B948AE" w:rsidRDefault="000B1E2A" w:rsidP="00B948AE">
            <w:pPr>
              <w:pStyle w:val="NormalWeb"/>
              <w:jc w:val="center"/>
              <w:rPr>
                <w:color w:val="FFFFFF" w:themeColor="background1"/>
              </w:rPr>
            </w:pPr>
            <w:r w:rsidRPr="00B948AE">
              <w:rPr>
                <w:color w:val="FFFFFF" w:themeColor="background1"/>
              </w:rPr>
              <w:t>Number of cases</w:t>
            </w:r>
          </w:p>
        </w:tc>
        <w:tc>
          <w:tcPr>
            <w:tcW w:w="1843" w:type="dxa"/>
            <w:tcBorders>
              <w:top w:val="single" w:sz="2" w:space="0" w:color="FFFFFF" w:themeColor="background1"/>
              <w:left w:val="single" w:sz="2" w:space="0" w:color="FFFFFF" w:themeColor="background1"/>
              <w:right w:val="single" w:sz="2" w:space="0" w:color="FFFFFF" w:themeColor="background1"/>
            </w:tcBorders>
            <w:hideMark/>
          </w:tcPr>
          <w:p w:rsidR="000B1E2A" w:rsidRPr="00B948AE" w:rsidRDefault="000B1E2A" w:rsidP="00B948AE">
            <w:pPr>
              <w:pStyle w:val="NormalWeb"/>
              <w:jc w:val="center"/>
              <w:rPr>
                <w:color w:val="FFFFFF" w:themeColor="background1"/>
              </w:rPr>
            </w:pPr>
            <w:r w:rsidRPr="00B948AE">
              <w:rPr>
                <w:color w:val="FFFFFF" w:themeColor="background1"/>
              </w:rPr>
              <w:t>Number of cases</w:t>
            </w:r>
          </w:p>
        </w:tc>
        <w:tc>
          <w:tcPr>
            <w:tcW w:w="2076" w:type="dxa"/>
            <w:tcBorders>
              <w:top w:val="single" w:sz="2" w:space="0" w:color="FFFFFF" w:themeColor="background1"/>
              <w:left w:val="single" w:sz="2" w:space="0" w:color="FFFFFF" w:themeColor="background1"/>
            </w:tcBorders>
            <w:hideMark/>
          </w:tcPr>
          <w:p w:rsidR="000B1E2A" w:rsidRPr="00B948AE" w:rsidRDefault="000B1E2A" w:rsidP="00B948AE">
            <w:pPr>
              <w:pStyle w:val="NormalWeb"/>
              <w:jc w:val="center"/>
              <w:rPr>
                <w:color w:val="FFFFFF" w:themeColor="background1"/>
              </w:rPr>
            </w:pPr>
            <w:r w:rsidRPr="00B948AE">
              <w:rPr>
                <w:color w:val="FFFFFF" w:themeColor="background1"/>
                <w:lang w:val="en-US"/>
              </w:rPr>
              <w:t>Rates per 100,000 population</w:t>
            </w:r>
          </w:p>
        </w:tc>
      </w:tr>
      <w:tr w:rsidR="000B1E2A" w:rsidTr="00BC6554">
        <w:tc>
          <w:tcPr>
            <w:tcW w:w="0" w:type="auto"/>
            <w:hideMark/>
          </w:tcPr>
          <w:p w:rsidR="000B1E2A" w:rsidRDefault="000B1E2A">
            <w:pPr>
              <w:pStyle w:val="NormalWeb"/>
            </w:pPr>
            <w:r>
              <w:t>NSW</w:t>
            </w:r>
          </w:p>
        </w:tc>
        <w:tc>
          <w:tcPr>
            <w:tcW w:w="2246" w:type="dxa"/>
            <w:hideMark/>
          </w:tcPr>
          <w:p w:rsidR="000B1E2A" w:rsidRDefault="000B1E2A" w:rsidP="00B948AE">
            <w:pPr>
              <w:pStyle w:val="NormalWeb"/>
              <w:jc w:val="center"/>
            </w:pPr>
            <w:r>
              <w:t>0</w:t>
            </w:r>
          </w:p>
        </w:tc>
        <w:tc>
          <w:tcPr>
            <w:tcW w:w="3119" w:type="dxa"/>
            <w:hideMark/>
          </w:tcPr>
          <w:p w:rsidR="000B1E2A" w:rsidRDefault="000B1E2A" w:rsidP="00B948AE">
            <w:pPr>
              <w:pStyle w:val="NormalWeb"/>
              <w:jc w:val="center"/>
            </w:pPr>
            <w:r>
              <w:t>1</w:t>
            </w:r>
          </w:p>
        </w:tc>
        <w:tc>
          <w:tcPr>
            <w:tcW w:w="1843" w:type="dxa"/>
            <w:hideMark/>
          </w:tcPr>
          <w:p w:rsidR="000B1E2A" w:rsidRDefault="000B1E2A" w:rsidP="00B948AE">
            <w:pPr>
              <w:pStyle w:val="NormalWeb"/>
              <w:jc w:val="center"/>
            </w:pPr>
            <w:r>
              <w:t>1,977</w:t>
            </w:r>
          </w:p>
        </w:tc>
        <w:tc>
          <w:tcPr>
            <w:tcW w:w="2076" w:type="dxa"/>
            <w:hideMark/>
          </w:tcPr>
          <w:p w:rsidR="000B1E2A" w:rsidRDefault="000B1E2A" w:rsidP="00B948AE">
            <w:pPr>
              <w:pStyle w:val="NormalWeb"/>
              <w:jc w:val="center"/>
            </w:pPr>
            <w:r>
              <w:t>24.5</w:t>
            </w:r>
          </w:p>
        </w:tc>
      </w:tr>
      <w:tr w:rsidR="000B1E2A" w:rsidTr="00BC6554">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Vic.</w:t>
            </w:r>
          </w:p>
        </w:tc>
        <w:tc>
          <w:tcPr>
            <w:tcW w:w="2246" w:type="dxa"/>
            <w:hideMark/>
          </w:tcPr>
          <w:p w:rsidR="000B1E2A" w:rsidRDefault="000B1E2A" w:rsidP="00B948AE">
            <w:pPr>
              <w:pStyle w:val="NormalWeb"/>
              <w:jc w:val="center"/>
            </w:pPr>
            <w:r>
              <w:t>0</w:t>
            </w:r>
          </w:p>
        </w:tc>
        <w:tc>
          <w:tcPr>
            <w:tcW w:w="3119" w:type="dxa"/>
            <w:hideMark/>
          </w:tcPr>
          <w:p w:rsidR="000B1E2A" w:rsidRDefault="000B1E2A" w:rsidP="00B948AE">
            <w:pPr>
              <w:pStyle w:val="NormalWeb"/>
              <w:jc w:val="center"/>
            </w:pPr>
            <w:r>
              <w:t>0</w:t>
            </w:r>
          </w:p>
        </w:tc>
        <w:tc>
          <w:tcPr>
            <w:tcW w:w="1843" w:type="dxa"/>
            <w:hideMark/>
          </w:tcPr>
          <w:p w:rsidR="000B1E2A" w:rsidRDefault="000B1E2A" w:rsidP="00B948AE">
            <w:pPr>
              <w:pStyle w:val="NormalWeb"/>
              <w:jc w:val="center"/>
            </w:pPr>
            <w:r>
              <w:t>19,360</w:t>
            </w:r>
          </w:p>
        </w:tc>
        <w:tc>
          <w:tcPr>
            <w:tcW w:w="2076" w:type="dxa"/>
            <w:hideMark/>
          </w:tcPr>
          <w:p w:rsidR="000B1E2A" w:rsidRDefault="000B1E2A" w:rsidP="00B948AE">
            <w:pPr>
              <w:pStyle w:val="NormalWeb"/>
              <w:jc w:val="center"/>
            </w:pPr>
            <w:r>
              <w:t>293.6</w:t>
            </w:r>
          </w:p>
        </w:tc>
      </w:tr>
      <w:tr w:rsidR="000B1E2A" w:rsidTr="00BC6554">
        <w:tc>
          <w:tcPr>
            <w:tcW w:w="0" w:type="auto"/>
            <w:hideMark/>
          </w:tcPr>
          <w:p w:rsidR="000B1E2A" w:rsidRDefault="000B1E2A">
            <w:pPr>
              <w:pStyle w:val="NormalWeb"/>
            </w:pPr>
            <w:r>
              <w:t>Qld</w:t>
            </w:r>
          </w:p>
        </w:tc>
        <w:tc>
          <w:tcPr>
            <w:tcW w:w="2246" w:type="dxa"/>
            <w:hideMark/>
          </w:tcPr>
          <w:p w:rsidR="000B1E2A" w:rsidRDefault="000B1E2A" w:rsidP="00B948AE">
            <w:pPr>
              <w:pStyle w:val="NormalWeb"/>
              <w:jc w:val="center"/>
            </w:pPr>
            <w:r>
              <w:t>0</w:t>
            </w:r>
          </w:p>
        </w:tc>
        <w:tc>
          <w:tcPr>
            <w:tcW w:w="3119" w:type="dxa"/>
            <w:hideMark/>
          </w:tcPr>
          <w:p w:rsidR="000B1E2A" w:rsidRDefault="000B1E2A" w:rsidP="00B948AE">
            <w:pPr>
              <w:pStyle w:val="NormalWeb"/>
              <w:jc w:val="center"/>
            </w:pPr>
            <w:r>
              <w:rPr>
                <w:lang w:val="en-US"/>
              </w:rPr>
              <w:t>0</w:t>
            </w:r>
          </w:p>
        </w:tc>
        <w:tc>
          <w:tcPr>
            <w:tcW w:w="1843" w:type="dxa"/>
            <w:hideMark/>
          </w:tcPr>
          <w:p w:rsidR="000B1E2A" w:rsidRDefault="000B1E2A" w:rsidP="00B948AE">
            <w:pPr>
              <w:pStyle w:val="NormalWeb"/>
              <w:jc w:val="center"/>
            </w:pPr>
            <w:r>
              <w:t>302</w:t>
            </w:r>
          </w:p>
        </w:tc>
        <w:tc>
          <w:tcPr>
            <w:tcW w:w="2076" w:type="dxa"/>
            <w:hideMark/>
          </w:tcPr>
          <w:p w:rsidR="000B1E2A" w:rsidRDefault="000B1E2A" w:rsidP="00B948AE">
            <w:pPr>
              <w:pStyle w:val="NormalWeb"/>
              <w:jc w:val="center"/>
            </w:pPr>
            <w:r>
              <w:t>5.9</w:t>
            </w:r>
          </w:p>
        </w:tc>
      </w:tr>
      <w:tr w:rsidR="000B1E2A" w:rsidTr="00BC6554">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WA</w:t>
            </w:r>
          </w:p>
        </w:tc>
        <w:tc>
          <w:tcPr>
            <w:tcW w:w="2246" w:type="dxa"/>
            <w:hideMark/>
          </w:tcPr>
          <w:p w:rsidR="000B1E2A" w:rsidRDefault="000B1E2A" w:rsidP="00B948AE">
            <w:pPr>
              <w:pStyle w:val="NormalWeb"/>
              <w:jc w:val="center"/>
            </w:pPr>
            <w:r>
              <w:t>0</w:t>
            </w:r>
          </w:p>
        </w:tc>
        <w:tc>
          <w:tcPr>
            <w:tcW w:w="3119" w:type="dxa"/>
            <w:hideMark/>
          </w:tcPr>
          <w:p w:rsidR="000B1E2A" w:rsidRDefault="000B1E2A" w:rsidP="00B948AE">
            <w:pPr>
              <w:pStyle w:val="NormalWeb"/>
              <w:jc w:val="center"/>
            </w:pPr>
            <w:r>
              <w:t>0</w:t>
            </w:r>
          </w:p>
        </w:tc>
        <w:tc>
          <w:tcPr>
            <w:tcW w:w="1843" w:type="dxa"/>
            <w:hideMark/>
          </w:tcPr>
          <w:p w:rsidR="000B1E2A" w:rsidRDefault="000B1E2A" w:rsidP="00B948AE">
            <w:pPr>
              <w:pStyle w:val="NormalWeb"/>
              <w:jc w:val="center"/>
            </w:pPr>
            <w:r>
              <w:t>101</w:t>
            </w:r>
          </w:p>
        </w:tc>
        <w:tc>
          <w:tcPr>
            <w:tcW w:w="2076" w:type="dxa"/>
            <w:hideMark/>
          </w:tcPr>
          <w:p w:rsidR="000B1E2A" w:rsidRDefault="000B1E2A" w:rsidP="00B948AE">
            <w:pPr>
              <w:pStyle w:val="NormalWeb"/>
              <w:jc w:val="center"/>
            </w:pPr>
            <w:r>
              <w:t>3.9</w:t>
            </w:r>
          </w:p>
        </w:tc>
      </w:tr>
      <w:tr w:rsidR="000B1E2A" w:rsidTr="00BC6554">
        <w:tc>
          <w:tcPr>
            <w:tcW w:w="0" w:type="auto"/>
            <w:hideMark/>
          </w:tcPr>
          <w:p w:rsidR="000B1E2A" w:rsidRDefault="000B1E2A">
            <w:pPr>
              <w:pStyle w:val="NormalWeb"/>
            </w:pPr>
            <w:r>
              <w:t>SA</w:t>
            </w:r>
            <w:r w:rsidR="00BB30DD" w:rsidRPr="00BB30DD">
              <w:rPr>
                <w:vertAlign w:val="superscript"/>
              </w:rPr>
              <w:t>a</w:t>
            </w:r>
          </w:p>
        </w:tc>
        <w:tc>
          <w:tcPr>
            <w:tcW w:w="2246" w:type="dxa"/>
            <w:hideMark/>
          </w:tcPr>
          <w:p w:rsidR="000B1E2A" w:rsidRDefault="000B1E2A" w:rsidP="00B948AE">
            <w:pPr>
              <w:pStyle w:val="NormalWeb"/>
              <w:jc w:val="center"/>
            </w:pPr>
            <w:r>
              <w:t>28</w:t>
            </w:r>
          </w:p>
        </w:tc>
        <w:tc>
          <w:tcPr>
            <w:tcW w:w="3119" w:type="dxa"/>
            <w:hideMark/>
          </w:tcPr>
          <w:p w:rsidR="000B1E2A" w:rsidRDefault="000B1E2A" w:rsidP="00B948AE">
            <w:pPr>
              <w:pStyle w:val="NormalWeb"/>
              <w:jc w:val="center"/>
            </w:pPr>
            <w:r>
              <w:t>4</w:t>
            </w:r>
          </w:p>
        </w:tc>
        <w:tc>
          <w:tcPr>
            <w:tcW w:w="1843" w:type="dxa"/>
            <w:hideMark/>
          </w:tcPr>
          <w:p w:rsidR="000B1E2A" w:rsidRDefault="000B1E2A" w:rsidP="00B948AE">
            <w:pPr>
              <w:pStyle w:val="NormalWeb"/>
              <w:jc w:val="center"/>
            </w:pPr>
            <w:r>
              <w:t>184</w:t>
            </w:r>
          </w:p>
        </w:tc>
        <w:tc>
          <w:tcPr>
            <w:tcW w:w="2076" w:type="dxa"/>
            <w:hideMark/>
          </w:tcPr>
          <w:p w:rsidR="000B1E2A" w:rsidRDefault="000B1E2A" w:rsidP="00B948AE">
            <w:pPr>
              <w:pStyle w:val="NormalWeb"/>
              <w:jc w:val="center"/>
            </w:pPr>
            <w:r>
              <w:t>10.5</w:t>
            </w:r>
          </w:p>
        </w:tc>
      </w:tr>
      <w:tr w:rsidR="000B1E2A" w:rsidTr="00BC6554">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Tas.</w:t>
            </w:r>
          </w:p>
        </w:tc>
        <w:tc>
          <w:tcPr>
            <w:tcW w:w="2246" w:type="dxa"/>
            <w:hideMark/>
          </w:tcPr>
          <w:p w:rsidR="000B1E2A" w:rsidRDefault="000B1E2A" w:rsidP="00B948AE">
            <w:pPr>
              <w:pStyle w:val="NormalWeb"/>
              <w:jc w:val="center"/>
            </w:pPr>
            <w:r>
              <w:t>0</w:t>
            </w:r>
          </w:p>
        </w:tc>
        <w:tc>
          <w:tcPr>
            <w:tcW w:w="3119" w:type="dxa"/>
            <w:hideMark/>
          </w:tcPr>
          <w:p w:rsidR="000B1E2A" w:rsidRDefault="000B1E2A" w:rsidP="00B948AE">
            <w:pPr>
              <w:pStyle w:val="NormalWeb"/>
              <w:jc w:val="center"/>
            </w:pPr>
            <w:r>
              <w:t>0</w:t>
            </w:r>
          </w:p>
        </w:tc>
        <w:tc>
          <w:tcPr>
            <w:tcW w:w="1843" w:type="dxa"/>
            <w:hideMark/>
          </w:tcPr>
          <w:p w:rsidR="000B1E2A" w:rsidRDefault="000B1E2A" w:rsidP="00B948AE">
            <w:pPr>
              <w:pStyle w:val="NormalWeb"/>
              <w:jc w:val="center"/>
            </w:pPr>
            <w:r>
              <w:t>152</w:t>
            </w:r>
          </w:p>
        </w:tc>
        <w:tc>
          <w:tcPr>
            <w:tcW w:w="2076" w:type="dxa"/>
            <w:hideMark/>
          </w:tcPr>
          <w:p w:rsidR="000B1E2A" w:rsidRDefault="000B1E2A" w:rsidP="00B948AE">
            <w:pPr>
              <w:pStyle w:val="NormalWeb"/>
              <w:jc w:val="center"/>
            </w:pPr>
            <w:r>
              <w:t>28.4</w:t>
            </w:r>
          </w:p>
        </w:tc>
      </w:tr>
      <w:tr w:rsidR="000B1E2A" w:rsidTr="00BC6554">
        <w:tc>
          <w:tcPr>
            <w:tcW w:w="0" w:type="auto"/>
            <w:hideMark/>
          </w:tcPr>
          <w:p w:rsidR="000B1E2A" w:rsidRDefault="000B1E2A">
            <w:pPr>
              <w:pStyle w:val="NormalWeb"/>
            </w:pPr>
            <w:r>
              <w:t>NT</w:t>
            </w:r>
          </w:p>
        </w:tc>
        <w:tc>
          <w:tcPr>
            <w:tcW w:w="2246" w:type="dxa"/>
            <w:hideMark/>
          </w:tcPr>
          <w:p w:rsidR="000B1E2A" w:rsidRDefault="000B1E2A" w:rsidP="00B948AE">
            <w:pPr>
              <w:pStyle w:val="NormalWeb"/>
              <w:jc w:val="center"/>
            </w:pPr>
            <w:r>
              <w:t>0</w:t>
            </w:r>
          </w:p>
        </w:tc>
        <w:tc>
          <w:tcPr>
            <w:tcW w:w="3119" w:type="dxa"/>
            <w:hideMark/>
          </w:tcPr>
          <w:p w:rsidR="000B1E2A" w:rsidRDefault="000B1E2A" w:rsidP="00B948AE">
            <w:pPr>
              <w:pStyle w:val="NormalWeb"/>
              <w:jc w:val="center"/>
            </w:pPr>
            <w:r>
              <w:t>0</w:t>
            </w:r>
          </w:p>
        </w:tc>
        <w:tc>
          <w:tcPr>
            <w:tcW w:w="1843" w:type="dxa"/>
            <w:hideMark/>
          </w:tcPr>
          <w:p w:rsidR="000B1E2A" w:rsidRDefault="000B1E2A" w:rsidP="00B948AE">
            <w:pPr>
              <w:pStyle w:val="NormalWeb"/>
              <w:jc w:val="center"/>
            </w:pPr>
            <w:r>
              <w:t>6</w:t>
            </w:r>
          </w:p>
        </w:tc>
        <w:tc>
          <w:tcPr>
            <w:tcW w:w="2076" w:type="dxa"/>
            <w:hideMark/>
          </w:tcPr>
          <w:p w:rsidR="000B1E2A" w:rsidRDefault="000B1E2A" w:rsidP="00B948AE">
            <w:pPr>
              <w:pStyle w:val="NormalWeb"/>
              <w:jc w:val="center"/>
            </w:pPr>
            <w:r>
              <w:t>2.4</w:t>
            </w:r>
          </w:p>
        </w:tc>
      </w:tr>
      <w:tr w:rsidR="000B1E2A" w:rsidTr="00BC6554">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ACT</w:t>
            </w:r>
          </w:p>
        </w:tc>
        <w:tc>
          <w:tcPr>
            <w:tcW w:w="2246" w:type="dxa"/>
            <w:hideMark/>
          </w:tcPr>
          <w:p w:rsidR="000B1E2A" w:rsidRDefault="000B1E2A" w:rsidP="00B948AE">
            <w:pPr>
              <w:pStyle w:val="NormalWeb"/>
              <w:jc w:val="center"/>
            </w:pPr>
            <w:r>
              <w:t>0</w:t>
            </w:r>
          </w:p>
        </w:tc>
        <w:tc>
          <w:tcPr>
            <w:tcW w:w="3119" w:type="dxa"/>
            <w:hideMark/>
          </w:tcPr>
          <w:p w:rsidR="000B1E2A" w:rsidRDefault="000B1E2A" w:rsidP="00B948AE">
            <w:pPr>
              <w:pStyle w:val="NormalWeb"/>
              <w:jc w:val="center"/>
            </w:pPr>
            <w:r>
              <w:t>0</w:t>
            </w:r>
          </w:p>
        </w:tc>
        <w:tc>
          <w:tcPr>
            <w:tcW w:w="1843" w:type="dxa"/>
            <w:hideMark/>
          </w:tcPr>
          <w:p w:rsidR="000B1E2A" w:rsidRDefault="000B1E2A" w:rsidP="00B948AE">
            <w:pPr>
              <w:pStyle w:val="NormalWeb"/>
              <w:jc w:val="center"/>
            </w:pPr>
            <w:r>
              <w:t>28</w:t>
            </w:r>
          </w:p>
        </w:tc>
        <w:tc>
          <w:tcPr>
            <w:tcW w:w="2076" w:type="dxa"/>
            <w:hideMark/>
          </w:tcPr>
          <w:p w:rsidR="000B1E2A" w:rsidRDefault="000B1E2A" w:rsidP="00B948AE">
            <w:pPr>
              <w:pStyle w:val="NormalWeb"/>
              <w:jc w:val="center"/>
            </w:pPr>
            <w:r>
              <w:t>6.6</w:t>
            </w:r>
          </w:p>
        </w:tc>
      </w:tr>
      <w:tr w:rsidR="00BC6554" w:rsidRPr="00BC6554" w:rsidTr="00BC6554">
        <w:tc>
          <w:tcPr>
            <w:tcW w:w="0" w:type="auto"/>
            <w:shd w:val="clear" w:color="auto" w:fill="FDE9D9" w:themeFill="accent6" w:themeFillTint="33"/>
            <w:hideMark/>
          </w:tcPr>
          <w:p w:rsidR="000B1E2A" w:rsidRPr="00BC6554" w:rsidRDefault="000B1E2A">
            <w:pPr>
              <w:pStyle w:val="NormalWeb"/>
              <w:rPr>
                <w:b/>
                <w:color w:val="0D0D0D" w:themeColor="text1" w:themeTint="F2"/>
              </w:rPr>
            </w:pPr>
            <w:r w:rsidRPr="00BC6554">
              <w:rPr>
                <w:b/>
                <w:color w:val="0D0D0D" w:themeColor="text1" w:themeTint="F2"/>
              </w:rPr>
              <w:t>Australia</w:t>
            </w:r>
          </w:p>
        </w:tc>
        <w:tc>
          <w:tcPr>
            <w:tcW w:w="2246" w:type="dxa"/>
            <w:shd w:val="clear" w:color="auto" w:fill="FDE9D9" w:themeFill="accent6" w:themeFillTint="33"/>
            <w:hideMark/>
          </w:tcPr>
          <w:p w:rsidR="000B1E2A" w:rsidRPr="00BC6554" w:rsidRDefault="000B1E2A" w:rsidP="00B948AE">
            <w:pPr>
              <w:pStyle w:val="NormalWeb"/>
              <w:jc w:val="center"/>
              <w:rPr>
                <w:b/>
                <w:color w:val="0D0D0D" w:themeColor="text1" w:themeTint="F2"/>
              </w:rPr>
            </w:pPr>
            <w:r w:rsidRPr="00BC6554">
              <w:rPr>
                <w:b/>
                <w:color w:val="0D0D0D" w:themeColor="text1" w:themeTint="F2"/>
              </w:rPr>
              <w:t>28</w:t>
            </w:r>
          </w:p>
        </w:tc>
        <w:tc>
          <w:tcPr>
            <w:tcW w:w="3119" w:type="dxa"/>
            <w:shd w:val="clear" w:color="auto" w:fill="FDE9D9" w:themeFill="accent6" w:themeFillTint="33"/>
            <w:hideMark/>
          </w:tcPr>
          <w:p w:rsidR="000B1E2A" w:rsidRPr="00BC6554" w:rsidRDefault="000B1E2A" w:rsidP="00B948AE">
            <w:pPr>
              <w:pStyle w:val="NormalWeb"/>
              <w:jc w:val="center"/>
              <w:rPr>
                <w:b/>
                <w:color w:val="0D0D0D" w:themeColor="text1" w:themeTint="F2"/>
              </w:rPr>
            </w:pPr>
            <w:r w:rsidRPr="00BC6554">
              <w:rPr>
                <w:b/>
                <w:color w:val="0D0D0D" w:themeColor="text1" w:themeTint="F2"/>
              </w:rPr>
              <w:t>5</w:t>
            </w:r>
          </w:p>
        </w:tc>
        <w:tc>
          <w:tcPr>
            <w:tcW w:w="1843" w:type="dxa"/>
            <w:shd w:val="clear" w:color="auto" w:fill="FDE9D9" w:themeFill="accent6" w:themeFillTint="33"/>
            <w:hideMark/>
          </w:tcPr>
          <w:p w:rsidR="000B1E2A" w:rsidRPr="00BC6554" w:rsidRDefault="000B1E2A" w:rsidP="00B948AE">
            <w:pPr>
              <w:pStyle w:val="NormalWeb"/>
              <w:jc w:val="center"/>
              <w:rPr>
                <w:b/>
                <w:color w:val="0D0D0D" w:themeColor="text1" w:themeTint="F2"/>
              </w:rPr>
            </w:pPr>
            <w:r w:rsidRPr="00BC6554">
              <w:rPr>
                <w:b/>
                <w:color w:val="0D0D0D" w:themeColor="text1" w:themeTint="F2"/>
              </w:rPr>
              <w:t>22,110</w:t>
            </w:r>
          </w:p>
        </w:tc>
        <w:tc>
          <w:tcPr>
            <w:tcW w:w="2076" w:type="dxa"/>
            <w:shd w:val="clear" w:color="auto" w:fill="FDE9D9" w:themeFill="accent6" w:themeFillTint="33"/>
            <w:hideMark/>
          </w:tcPr>
          <w:p w:rsidR="000B1E2A" w:rsidRPr="00BC6554" w:rsidRDefault="000B1E2A" w:rsidP="00B948AE">
            <w:pPr>
              <w:pStyle w:val="NormalWeb"/>
              <w:jc w:val="center"/>
              <w:rPr>
                <w:b/>
                <w:color w:val="0D0D0D" w:themeColor="text1" w:themeTint="F2"/>
              </w:rPr>
            </w:pPr>
            <w:r w:rsidRPr="00BC6554">
              <w:rPr>
                <w:b/>
                <w:color w:val="0D0D0D" w:themeColor="text1" w:themeTint="F2"/>
                <w:lang w:val="en-US"/>
              </w:rPr>
              <w:t>87.2</w:t>
            </w:r>
          </w:p>
        </w:tc>
      </w:tr>
    </w:tbl>
    <w:p w:rsidR="00BB30DD" w:rsidRDefault="00BB30DD" w:rsidP="00BB30DD">
      <w:pPr>
        <w:pStyle w:val="Footnotewhangingindent"/>
      </w:pPr>
    </w:p>
    <w:p w:rsidR="00BB30DD" w:rsidRDefault="00BB30DD" w:rsidP="00BB30DD">
      <w:pPr>
        <w:pStyle w:val="CDIfootnotes"/>
      </w:pPr>
      <w:r>
        <w:t>a</w:t>
      </w:r>
      <w:r>
        <w:tab/>
        <w:t xml:space="preserve">South Australia's total for the two reporting periods includes one locally-acquired interstate case. Whilst it is known there were a total of 33 cases associated with the Parafield cluster, at the time of reporting only 31 of these had been notified to NNDSS. </w:t>
      </w:r>
    </w:p>
    <w:p w:rsidR="00AE169B" w:rsidRDefault="00AE169B" w:rsidP="00DA067E">
      <w:pPr>
        <w:pStyle w:val="CDIFigures"/>
      </w:pPr>
    </w:p>
    <w:p w:rsidR="00AE169B" w:rsidRDefault="00AE169B" w:rsidP="00AE169B">
      <w:r>
        <w:br w:type="page"/>
      </w:r>
    </w:p>
    <w:p w:rsidR="000B1E2A" w:rsidRDefault="000B1E2A" w:rsidP="00DA067E">
      <w:pPr>
        <w:pStyle w:val="CDIFigures"/>
      </w:pPr>
      <w:r>
        <w:lastRenderedPageBreak/>
        <w:t>Figure 2: Weekly trends in respiratory illness amongst FluTracking survey participants (age-standardised) compared to the average of the previous five years, Australia, 1 March – 6 December 2020</w:t>
      </w:r>
      <w:r w:rsidRPr="00FC145B">
        <w:rPr>
          <w:vertAlign w:val="superscript"/>
        </w:rPr>
        <w:t>a</w:t>
      </w:r>
    </w:p>
    <w:p w:rsidR="000B1E2A" w:rsidRDefault="000B1E2A" w:rsidP="0046604B">
      <w:pPr>
        <w:pStyle w:val="NormalWeb"/>
        <w:jc w:val="center"/>
      </w:pPr>
      <w:r>
        <w:rPr>
          <w:noProof/>
        </w:rPr>
        <w:drawing>
          <wp:inline distT="0" distB="0" distL="0" distR="0">
            <wp:extent cx="6130137" cy="3902946"/>
            <wp:effectExtent l="0" t="0" r="4445" b="2540"/>
            <wp:docPr id="2"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8 Nov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8 Nov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47368" cy="3913917"/>
                    </a:xfrm>
                    <a:prstGeom prst="rect">
                      <a:avLst/>
                    </a:prstGeom>
                  </pic:spPr>
                </pic:pic>
              </a:graphicData>
            </a:graphic>
          </wp:inline>
        </w:drawing>
      </w:r>
    </w:p>
    <w:p w:rsidR="000B1E2A" w:rsidRPr="00BC6554" w:rsidRDefault="000B1E2A" w:rsidP="00BC6554">
      <w:pPr>
        <w:pStyle w:val="CDIfootnotes"/>
      </w:pPr>
      <w:r w:rsidRPr="00BC6554">
        <w:t>a</w:t>
      </w:r>
      <w:r w:rsidRPr="00BC6554">
        <w:tab/>
        <w:t>In previous years, FluTracking was activated during the main Influenza season from May to October. A historical average beyond the week ending 11 October is therefore not available. In 2020, FluTracking commenced 10 weeks early to capture data for COVID-19. Data on runny nose and sore throat were only collected systematically after 29 March 2020, therefore a historical average for this symptom profile is unavailable.</w:t>
      </w:r>
    </w:p>
    <w:p w:rsidR="000B1E2A" w:rsidRDefault="000B1E2A" w:rsidP="00DA067E">
      <w:r>
        <w:t xml:space="preserve">In this reporting period, acute respiratory illness was highest in those aged 0–9, 10–19 and 30–39 years old, based on both self-reported FluTracking data and presentations to Commonwealth Respiratory Clinics. Females reported respiratory illness more frequently than males. Rates of fever and cough by jurisdiction ranged from 1.9/1,000 FluTracking participants in Tasmania to 8.0/1,000 participants in Western Australia. </w:t>
      </w:r>
    </w:p>
    <w:p w:rsidR="000B1E2A" w:rsidRDefault="000B1E2A" w:rsidP="00DA067E">
      <w:r>
        <w:t xml:space="preserve">FluTracking data indicate that 47% of those in the community with ‘fever and cough’ and 19% of those with ‘runny nose and sore throat’ were tested for SARS-CoV-2. This represents a decrease from the last reporting period. Testing rates varied by jurisdiction, being lowest in Western Australia and Queensland, and highest in South Australia and Victoria. It is important to acknowledge that there may be legitimate reasons why people did not get tested, including barriers to accessing testing. Symptoms reported to Flutracking were not specific to COVID-19 and may also be due to chronic diseases. </w:t>
      </w:r>
    </w:p>
    <w:p w:rsidR="000B1E2A" w:rsidRDefault="000B1E2A" w:rsidP="00DA067E">
      <w:r>
        <w:t xml:space="preserve">During this reporting period, there were 27,189 assessments at Commonwealth Respiratory Clinics with 94% tested for SARS-CoV-2. The positivity rate for SARS-CoV-2 at these Clinics was &lt; 0.01% for this reporting period. </w:t>
      </w:r>
    </w:p>
    <w:p w:rsidR="000B1E2A" w:rsidRDefault="000B1E2A" w:rsidP="00DA067E">
      <w:r>
        <w:t xml:space="preserve">In patients experiencing influenza-like illness in this reporting period who were tested through the ASPREN and VicSPIN GP sentinel surveillance systems, the most frequent respiratory viruses detected were rhinoviruses and respiratory syncytial virus (RSV). </w:t>
      </w:r>
    </w:p>
    <w:p w:rsidR="000B1E2A" w:rsidRDefault="000B1E2A" w:rsidP="00DA067E">
      <w:r>
        <w:lastRenderedPageBreak/>
        <w:t xml:space="preserve">Based on FluTracking data, the rate of self-reported fever and cough among Aboriginal and Torres Strait Islander people and health care workers during the reporting period was similar to that observed for all other participants based on FluTracking data. </w:t>
      </w:r>
    </w:p>
    <w:p w:rsidR="000B1E2A" w:rsidRDefault="000B1E2A" w:rsidP="00DA067E">
      <w:r>
        <w:t xml:space="preserve">Based on all presentations to Commonwealth Respiratory Clinics to date, the principal symptoms reported in COVID-19 cases were cough, sore throat, tiredness, runny nose, and fever. </w:t>
      </w:r>
    </w:p>
    <w:p w:rsidR="005B207E" w:rsidRDefault="000B1E2A" w:rsidP="005B207E">
      <w:pPr>
        <w:pStyle w:val="Heading2"/>
        <w:rPr>
          <w:rFonts w:eastAsia="Times New Roman"/>
        </w:rPr>
      </w:pPr>
      <w:r>
        <w:rPr>
          <w:rFonts w:eastAsia="Times New Roman"/>
        </w:rPr>
        <w:t>Transmissi</w:t>
      </w:r>
      <w:r w:rsidR="005B207E">
        <w:rPr>
          <w:rFonts w:eastAsia="Times New Roman"/>
        </w:rPr>
        <w:t>on trends of confirmed COVID-19</w:t>
      </w:r>
    </w:p>
    <w:p w:rsidR="000B1E2A" w:rsidRPr="005B207E" w:rsidRDefault="000B1E2A" w:rsidP="005B207E">
      <w:pPr>
        <w:pStyle w:val="Heading3"/>
        <w:rPr>
          <w:rFonts w:eastAsia="Times New Roman"/>
          <w:i/>
        </w:rPr>
      </w:pPr>
      <w:r w:rsidRPr="005B207E">
        <w:rPr>
          <w:rFonts w:eastAsia="Times New Roman"/>
          <w:i/>
        </w:rPr>
        <w:t xml:space="preserve">(NNDSS and jurisdictional reporting to NIR) </w:t>
      </w:r>
    </w:p>
    <w:p w:rsidR="00BC6554" w:rsidRPr="00AE169B" w:rsidRDefault="000B1E2A" w:rsidP="00AE169B">
      <w:r>
        <w:t>As at 6 December 2020, there were 28,049 COVID-19 cases including 908 deaths reported nationally, with two distinct peaks in March and July (Figure 3). In this reporting period, there were 109 cases and no deaths reported. On average, eight cases were notified each day over this reporting period, a decrease from the average of 11 cases reported per day over the previous reporting period. The largest number of cases diagnosed this fortnight was from New South Wales (54%; 59/109), followed by Queensland (16%; 17/109), Western Australia (15%; 16/109) and the Northern Territory (11%; 12/109). Small numbers of cases were reported in South Australia (4) and the Australian Capital Territory (1). No new cases were reported in Tasmania and Victoria.</w:t>
      </w:r>
    </w:p>
    <w:p w:rsidR="000B1E2A" w:rsidRDefault="000B1E2A" w:rsidP="00DA067E">
      <w:pPr>
        <w:pStyle w:val="CDIFigures"/>
      </w:pPr>
      <w:r>
        <w:t>Figure 3: COVID-19 notified cases by source of acquisition and diagnosis date, Australia, week ending 6 December 2020</w:t>
      </w:r>
      <w:r w:rsidRPr="001D5D33">
        <w:rPr>
          <w:vertAlign w:val="superscript"/>
        </w:rPr>
        <w:t>a</w:t>
      </w:r>
    </w:p>
    <w:p w:rsidR="000B1E2A" w:rsidRDefault="000B1E2A">
      <w:pPr>
        <w:pStyle w:val="NormalWeb"/>
      </w:pPr>
      <w:r>
        <w:rPr>
          <w:noProof/>
        </w:rPr>
        <w:drawing>
          <wp:inline distT="0" distB="0" distL="0" distR="0">
            <wp:extent cx="6625742" cy="4866753"/>
            <wp:effectExtent l="0" t="0" r="3810" b="0"/>
            <wp:docPr id="3"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and peaking in the weeks ending 26 July and 2 August) have been reported as locally acquired, with overseas-acquired cases once again dominant only since mid-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11 October (and peaking in the weeks ending 26 July and 2 August) have been reported as locally acquired, with overseas-acquired cases once again dominant only since mid-Octobe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29030" cy="4869168"/>
                    </a:xfrm>
                    <a:prstGeom prst="rect">
                      <a:avLst/>
                    </a:prstGeom>
                  </pic:spPr>
                </pic:pic>
              </a:graphicData>
            </a:graphic>
          </wp:inline>
        </w:drawing>
      </w:r>
    </w:p>
    <w:p w:rsidR="000B1E2A" w:rsidRDefault="000B1E2A" w:rsidP="006916C8">
      <w:pPr>
        <w:pStyle w:val="CDIfootnotes"/>
      </w:pPr>
      <w:r>
        <w:t>a</w:t>
      </w:r>
      <w:r>
        <w:tab/>
        <w:t>Source: NNDSS.</w:t>
      </w:r>
    </w:p>
    <w:p w:rsidR="000B1E2A" w:rsidRDefault="000B1E2A" w:rsidP="009E72C3">
      <w:pPr>
        <w:pStyle w:val="Heading2"/>
        <w:rPr>
          <w:rFonts w:eastAsia="Times New Roman"/>
        </w:rPr>
      </w:pPr>
      <w:r>
        <w:rPr>
          <w:rFonts w:eastAsia="Times New Roman"/>
        </w:rPr>
        <w:lastRenderedPageBreak/>
        <w:t xml:space="preserve">Source of acquisition (NNDSS) </w:t>
      </w:r>
    </w:p>
    <w:p w:rsidR="00BA0CB8" w:rsidRPr="00BA0CB8" w:rsidRDefault="00BA0CB8" w:rsidP="00BA0CB8">
      <w:r w:rsidRPr="00BA0CB8">
        <w:t>In this reporting period, 94% (103/109) of cases were reported as overseas acquired. Locally-acquired cases accounted for 5% (5/109) of cases, and the contact was not identified in one of these cases. Investigations continue into the source of infection for this case in NSW. The strain of the virus appears to be of US origin and NSW Health is progressing in examining potential links to international aircrew who were self-isolating in the hotel at the time. In total, 1% (1/109) of cases reported this fortnight were under investigation at the time of reporting (Table 1).</w:t>
      </w:r>
    </w:p>
    <w:p w:rsidR="00BA0CB8" w:rsidRPr="00BA0CB8" w:rsidRDefault="00BA0CB8" w:rsidP="00BA0CB8">
      <w:r w:rsidRPr="00BA0CB8">
        <w:t>In this reporting period, the largest number of overseas-acquired cases was reported in New South Wales (57%; 58/102), followed by Queensland (16%; 16/102), Western Australia (16%; 16/102) and the Northern Territory (12%; 12/102). The higher number of overseas-acquired cases reported in New South Wales likely reflects the number of returned travellers managed there, as well as the origin of flights being from countries with a high incidence of disease.</w:t>
      </w:r>
    </w:p>
    <w:p w:rsidR="00BA0CB8" w:rsidRPr="00BA0CB8" w:rsidRDefault="00BA0CB8" w:rsidP="00BA0CB8">
      <w:r w:rsidRPr="00BA0CB8">
        <w:t>In the past fortnight, the largest numbers of overseas-acquired cases were from the United States of America (25%; 25/102) followed by India (9%; 9/102) and the United Kingdom (8%; 8/102), which is similar to the previous reporting period. The number of cases by country is influenced by travel patterns of returning Australians as well as by the prevalence of COVID-19 in the country the person is arriving from.</w:t>
      </w:r>
    </w:p>
    <w:p w:rsidR="00BA0CB8" w:rsidRPr="00BA0CB8" w:rsidRDefault="00BA0CB8" w:rsidP="00BA0CB8">
      <w:r w:rsidRPr="00BA0CB8">
        <w:t>Cumulatively, the infection rate to date for all locally-acquired cases was highest in Victoria with 293.6 infections per 100,000 population (Table 2). The rate of infection in Tasmania was 28.4 infections per 100,000 population, largely as a result of an outbreak in North West Tasmanian hospitals in April 2020, which represents half of all their cases.</w:t>
      </w:r>
    </w:p>
    <w:p w:rsidR="00BA0CB8" w:rsidRDefault="00BA0CB8" w:rsidP="00BA0CB8">
      <w:pPr>
        <w:rPr>
          <w:b/>
        </w:rPr>
      </w:pPr>
      <w:r w:rsidRPr="00BA0CB8">
        <w:t>Nationally, the most recent locally-acquired case of unknown source was notified by New South Wales on 2 December 2020.</w:t>
      </w:r>
    </w:p>
    <w:p w:rsidR="000B1E2A" w:rsidRDefault="000B1E2A" w:rsidP="00BA0CB8">
      <w:pPr>
        <w:pStyle w:val="CDIFigures"/>
      </w:pPr>
      <w:r>
        <w:t>Table 3: Days since last locally-acquired COVID-19 case (source known and source unknown), by jurisdiction, reported by notification received date,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known source, and with unknown source, by jurisdiction. In New South Wales, the most recently-notified locally-acquired cases with source known and with source unknown were notified respectively 19 and four days prior to the end of the current reporting period. In South Australia, the most recently-notified locally-acquired cases with source known and with source unknown were notified respectively seven and 235 days prior to the end of the current reporting period. In Victoria, 38 days have elapsed since notification of cases in either category. In all other jurisdictions, the time elapsed since notification of any locally-acquired cases in either category exceeds 80 days."/>
      </w:tblPr>
      <w:tblGrid>
        <w:gridCol w:w="1156"/>
        <w:gridCol w:w="1758"/>
        <w:gridCol w:w="2473"/>
        <w:gridCol w:w="2126"/>
        <w:gridCol w:w="2927"/>
      </w:tblGrid>
      <w:tr w:rsidR="006916C8" w:rsidRPr="006916C8" w:rsidTr="00EC39E5">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0B1E2A" w:rsidRPr="006916C8" w:rsidRDefault="000B1E2A">
            <w:pPr>
              <w:pStyle w:val="NormalWeb"/>
              <w:rPr>
                <w:color w:val="FFFFFF" w:themeColor="background1"/>
              </w:rPr>
            </w:pPr>
            <w:r w:rsidRPr="006916C8">
              <w:rPr>
                <w:color w:val="FFFFFF" w:themeColor="background1"/>
              </w:rPr>
              <w:t>Jurisdiction</w:t>
            </w:r>
          </w:p>
        </w:tc>
        <w:tc>
          <w:tcPr>
            <w:tcW w:w="4231" w:type="dxa"/>
            <w:gridSpan w:val="2"/>
            <w:tcBorders>
              <w:left w:val="single" w:sz="2" w:space="0" w:color="FFFFFF" w:themeColor="background1"/>
              <w:bottom w:val="single" w:sz="2" w:space="0" w:color="FFFFFF" w:themeColor="background1"/>
              <w:right w:val="single" w:sz="2" w:space="0" w:color="FFFFFF" w:themeColor="background1"/>
            </w:tcBorders>
            <w:hideMark/>
          </w:tcPr>
          <w:p w:rsidR="000B1E2A" w:rsidRPr="006916C8" w:rsidRDefault="000B1E2A" w:rsidP="006916C8">
            <w:pPr>
              <w:pStyle w:val="NormalWeb"/>
              <w:jc w:val="center"/>
              <w:rPr>
                <w:color w:val="FFFFFF" w:themeColor="background1"/>
              </w:rPr>
            </w:pPr>
            <w:r w:rsidRPr="006916C8">
              <w:rPr>
                <w:color w:val="FFFFFF" w:themeColor="background1"/>
                <w:lang w:val="en-US"/>
              </w:rPr>
              <w:t>Locally acquired — source unknown</w:t>
            </w:r>
          </w:p>
        </w:tc>
        <w:tc>
          <w:tcPr>
            <w:tcW w:w="5053" w:type="dxa"/>
            <w:gridSpan w:val="2"/>
            <w:tcBorders>
              <w:left w:val="single" w:sz="2" w:space="0" w:color="FFFFFF" w:themeColor="background1"/>
              <w:bottom w:val="single" w:sz="2" w:space="0" w:color="FFFFFF" w:themeColor="background1"/>
            </w:tcBorders>
            <w:hideMark/>
          </w:tcPr>
          <w:p w:rsidR="000B1E2A" w:rsidRPr="006916C8" w:rsidRDefault="000B1E2A" w:rsidP="006916C8">
            <w:pPr>
              <w:pStyle w:val="NormalWeb"/>
              <w:jc w:val="center"/>
              <w:rPr>
                <w:color w:val="FFFFFF" w:themeColor="background1"/>
              </w:rPr>
            </w:pPr>
            <w:r w:rsidRPr="006916C8">
              <w:rPr>
                <w:color w:val="FFFFFF" w:themeColor="background1"/>
              </w:rPr>
              <w:t>Locally acquired — source known</w:t>
            </w:r>
          </w:p>
        </w:tc>
      </w:tr>
      <w:tr w:rsidR="006916C8" w:rsidRPr="006916C8" w:rsidTr="00EC39E5">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0B1E2A" w:rsidRPr="006916C8" w:rsidRDefault="000B1E2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0B1E2A" w:rsidRPr="006916C8" w:rsidRDefault="000B1E2A" w:rsidP="006916C8">
            <w:pPr>
              <w:pStyle w:val="NormalWeb"/>
              <w:jc w:val="center"/>
              <w:rPr>
                <w:color w:val="FFFFFF" w:themeColor="background1"/>
              </w:rPr>
            </w:pPr>
            <w:r w:rsidRPr="006916C8">
              <w:rPr>
                <w:color w:val="FFFFFF" w:themeColor="background1"/>
              </w:rPr>
              <w:t>Date of last case</w:t>
            </w:r>
          </w:p>
        </w:tc>
        <w:tc>
          <w:tcPr>
            <w:tcW w:w="2473" w:type="dxa"/>
            <w:tcBorders>
              <w:top w:val="single" w:sz="2" w:space="0" w:color="FFFFFF" w:themeColor="background1"/>
              <w:left w:val="single" w:sz="2" w:space="0" w:color="FFFFFF" w:themeColor="background1"/>
              <w:right w:val="single" w:sz="2" w:space="0" w:color="FFFFFF" w:themeColor="background1"/>
            </w:tcBorders>
            <w:hideMark/>
          </w:tcPr>
          <w:p w:rsidR="000B1E2A" w:rsidRPr="006916C8" w:rsidRDefault="000B1E2A" w:rsidP="006916C8">
            <w:pPr>
              <w:pStyle w:val="NormalWeb"/>
              <w:jc w:val="center"/>
              <w:rPr>
                <w:color w:val="FFFFFF" w:themeColor="background1"/>
              </w:rPr>
            </w:pPr>
            <w:r w:rsidRPr="006916C8">
              <w:rPr>
                <w:color w:val="FFFFFF" w:themeColor="background1"/>
              </w:rPr>
              <w:t>Days since last case</w:t>
            </w:r>
          </w:p>
        </w:tc>
        <w:tc>
          <w:tcPr>
            <w:tcW w:w="2126" w:type="dxa"/>
            <w:tcBorders>
              <w:top w:val="single" w:sz="2" w:space="0" w:color="FFFFFF" w:themeColor="background1"/>
              <w:left w:val="single" w:sz="2" w:space="0" w:color="FFFFFF" w:themeColor="background1"/>
              <w:right w:val="single" w:sz="2" w:space="0" w:color="FFFFFF" w:themeColor="background1"/>
            </w:tcBorders>
            <w:hideMark/>
          </w:tcPr>
          <w:p w:rsidR="000B1E2A" w:rsidRPr="006916C8" w:rsidRDefault="000B1E2A" w:rsidP="006916C8">
            <w:pPr>
              <w:pStyle w:val="NormalWeb"/>
              <w:jc w:val="center"/>
              <w:rPr>
                <w:color w:val="FFFFFF" w:themeColor="background1"/>
              </w:rPr>
            </w:pPr>
            <w:r w:rsidRPr="006916C8">
              <w:rPr>
                <w:color w:val="FFFFFF" w:themeColor="background1"/>
              </w:rPr>
              <w:t>Date of last case</w:t>
            </w:r>
          </w:p>
        </w:tc>
        <w:tc>
          <w:tcPr>
            <w:tcW w:w="2927" w:type="dxa"/>
            <w:tcBorders>
              <w:top w:val="single" w:sz="2" w:space="0" w:color="FFFFFF" w:themeColor="background1"/>
              <w:left w:val="single" w:sz="2" w:space="0" w:color="FFFFFF" w:themeColor="background1"/>
            </w:tcBorders>
            <w:hideMark/>
          </w:tcPr>
          <w:p w:rsidR="000B1E2A" w:rsidRPr="006916C8" w:rsidRDefault="000B1E2A" w:rsidP="006916C8">
            <w:pPr>
              <w:pStyle w:val="NormalWeb"/>
              <w:jc w:val="center"/>
              <w:rPr>
                <w:color w:val="FFFFFF" w:themeColor="background1"/>
              </w:rPr>
            </w:pPr>
            <w:r w:rsidRPr="006916C8">
              <w:rPr>
                <w:color w:val="FFFFFF" w:themeColor="background1"/>
                <w:lang w:val="en-US"/>
              </w:rPr>
              <w:t>Days since last case</w:t>
            </w:r>
          </w:p>
        </w:tc>
      </w:tr>
      <w:tr w:rsidR="000B1E2A" w:rsidTr="00EC39E5">
        <w:tc>
          <w:tcPr>
            <w:tcW w:w="0" w:type="auto"/>
            <w:hideMark/>
          </w:tcPr>
          <w:p w:rsidR="000B1E2A" w:rsidRDefault="000B1E2A">
            <w:pPr>
              <w:pStyle w:val="NormalWeb"/>
            </w:pPr>
            <w:r>
              <w:t>NSW</w:t>
            </w:r>
          </w:p>
        </w:tc>
        <w:tc>
          <w:tcPr>
            <w:tcW w:w="0" w:type="auto"/>
            <w:hideMark/>
          </w:tcPr>
          <w:p w:rsidR="000B1E2A" w:rsidRDefault="000B1E2A" w:rsidP="006916C8">
            <w:pPr>
              <w:pStyle w:val="NormalWeb"/>
              <w:jc w:val="center"/>
            </w:pPr>
            <w:r>
              <w:t>2 December 2020</w:t>
            </w:r>
          </w:p>
        </w:tc>
        <w:tc>
          <w:tcPr>
            <w:tcW w:w="2473" w:type="dxa"/>
            <w:hideMark/>
          </w:tcPr>
          <w:p w:rsidR="000B1E2A" w:rsidRDefault="000B1E2A" w:rsidP="006916C8">
            <w:pPr>
              <w:pStyle w:val="NormalWeb"/>
              <w:jc w:val="center"/>
            </w:pPr>
            <w:r>
              <w:t>4</w:t>
            </w:r>
          </w:p>
        </w:tc>
        <w:tc>
          <w:tcPr>
            <w:tcW w:w="2126" w:type="dxa"/>
            <w:hideMark/>
          </w:tcPr>
          <w:p w:rsidR="000B1E2A" w:rsidRDefault="000B1E2A" w:rsidP="006916C8">
            <w:pPr>
              <w:pStyle w:val="NormalWeb"/>
              <w:jc w:val="center"/>
            </w:pPr>
            <w:r>
              <w:t>17 November 2020</w:t>
            </w:r>
          </w:p>
        </w:tc>
        <w:tc>
          <w:tcPr>
            <w:tcW w:w="2927" w:type="dxa"/>
            <w:hideMark/>
          </w:tcPr>
          <w:p w:rsidR="000B1E2A" w:rsidRDefault="000B1E2A" w:rsidP="006916C8">
            <w:pPr>
              <w:pStyle w:val="NormalWeb"/>
              <w:jc w:val="center"/>
            </w:pPr>
            <w:r>
              <w:t>19</w:t>
            </w:r>
          </w:p>
        </w:tc>
      </w:tr>
      <w:tr w:rsidR="000B1E2A" w:rsidTr="00EC39E5">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Vic.</w:t>
            </w:r>
          </w:p>
        </w:tc>
        <w:tc>
          <w:tcPr>
            <w:tcW w:w="0" w:type="auto"/>
            <w:hideMark/>
          </w:tcPr>
          <w:p w:rsidR="000B1E2A" w:rsidRDefault="000B1E2A" w:rsidP="006916C8">
            <w:pPr>
              <w:pStyle w:val="NormalWeb"/>
              <w:jc w:val="center"/>
            </w:pPr>
            <w:r>
              <w:t>29 October 2020</w:t>
            </w:r>
          </w:p>
        </w:tc>
        <w:tc>
          <w:tcPr>
            <w:tcW w:w="2473" w:type="dxa"/>
            <w:hideMark/>
          </w:tcPr>
          <w:p w:rsidR="000B1E2A" w:rsidRDefault="000B1E2A" w:rsidP="006916C8">
            <w:pPr>
              <w:pStyle w:val="NormalWeb"/>
              <w:jc w:val="center"/>
            </w:pPr>
            <w:r>
              <w:t>38</w:t>
            </w:r>
          </w:p>
        </w:tc>
        <w:tc>
          <w:tcPr>
            <w:tcW w:w="2126" w:type="dxa"/>
            <w:hideMark/>
          </w:tcPr>
          <w:p w:rsidR="000B1E2A" w:rsidRDefault="000B1E2A" w:rsidP="006916C8">
            <w:pPr>
              <w:pStyle w:val="NormalWeb"/>
              <w:jc w:val="center"/>
            </w:pPr>
            <w:r>
              <w:t>29 October 2020</w:t>
            </w:r>
          </w:p>
        </w:tc>
        <w:tc>
          <w:tcPr>
            <w:tcW w:w="2927" w:type="dxa"/>
            <w:hideMark/>
          </w:tcPr>
          <w:p w:rsidR="000B1E2A" w:rsidRDefault="000B1E2A" w:rsidP="006916C8">
            <w:pPr>
              <w:pStyle w:val="NormalWeb"/>
              <w:jc w:val="center"/>
            </w:pPr>
            <w:r>
              <w:t>38</w:t>
            </w:r>
          </w:p>
        </w:tc>
      </w:tr>
      <w:tr w:rsidR="000B1E2A" w:rsidTr="00EC39E5">
        <w:tc>
          <w:tcPr>
            <w:tcW w:w="0" w:type="auto"/>
            <w:hideMark/>
          </w:tcPr>
          <w:p w:rsidR="000B1E2A" w:rsidRDefault="000B1E2A">
            <w:pPr>
              <w:pStyle w:val="NormalWeb"/>
            </w:pPr>
            <w:r>
              <w:t>Qld</w:t>
            </w:r>
          </w:p>
        </w:tc>
        <w:tc>
          <w:tcPr>
            <w:tcW w:w="0" w:type="auto"/>
            <w:hideMark/>
          </w:tcPr>
          <w:p w:rsidR="000B1E2A" w:rsidRDefault="000B1E2A" w:rsidP="006916C8">
            <w:pPr>
              <w:pStyle w:val="NormalWeb"/>
              <w:jc w:val="center"/>
            </w:pPr>
            <w:r>
              <w:t>26 August 2020</w:t>
            </w:r>
          </w:p>
        </w:tc>
        <w:tc>
          <w:tcPr>
            <w:tcW w:w="2473" w:type="dxa"/>
            <w:hideMark/>
          </w:tcPr>
          <w:p w:rsidR="000B1E2A" w:rsidRDefault="000B1E2A" w:rsidP="006916C8">
            <w:pPr>
              <w:pStyle w:val="NormalWeb"/>
              <w:jc w:val="center"/>
            </w:pPr>
            <w:r>
              <w:t>102</w:t>
            </w:r>
          </w:p>
        </w:tc>
        <w:tc>
          <w:tcPr>
            <w:tcW w:w="2126" w:type="dxa"/>
            <w:hideMark/>
          </w:tcPr>
          <w:p w:rsidR="000B1E2A" w:rsidRDefault="000B1E2A" w:rsidP="006916C8">
            <w:pPr>
              <w:pStyle w:val="NormalWeb"/>
              <w:jc w:val="center"/>
            </w:pPr>
            <w:r>
              <w:t>15 September 2020</w:t>
            </w:r>
          </w:p>
        </w:tc>
        <w:tc>
          <w:tcPr>
            <w:tcW w:w="2927" w:type="dxa"/>
            <w:hideMark/>
          </w:tcPr>
          <w:p w:rsidR="000B1E2A" w:rsidRDefault="000B1E2A" w:rsidP="006916C8">
            <w:pPr>
              <w:pStyle w:val="NormalWeb"/>
              <w:jc w:val="center"/>
            </w:pPr>
            <w:r>
              <w:t>82</w:t>
            </w:r>
          </w:p>
        </w:tc>
      </w:tr>
      <w:tr w:rsidR="000B1E2A" w:rsidTr="00EC39E5">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WA</w:t>
            </w:r>
          </w:p>
        </w:tc>
        <w:tc>
          <w:tcPr>
            <w:tcW w:w="0" w:type="auto"/>
            <w:hideMark/>
          </w:tcPr>
          <w:p w:rsidR="000B1E2A" w:rsidRDefault="000B1E2A" w:rsidP="006916C8">
            <w:pPr>
              <w:pStyle w:val="NormalWeb"/>
              <w:jc w:val="center"/>
            </w:pPr>
            <w:r>
              <w:t>23 July 2020</w:t>
            </w:r>
          </w:p>
        </w:tc>
        <w:tc>
          <w:tcPr>
            <w:tcW w:w="2473" w:type="dxa"/>
            <w:hideMark/>
          </w:tcPr>
          <w:p w:rsidR="000B1E2A" w:rsidRDefault="000B1E2A" w:rsidP="006916C8">
            <w:pPr>
              <w:pStyle w:val="NormalWeb"/>
              <w:jc w:val="center"/>
            </w:pPr>
            <w:r>
              <w:t>136</w:t>
            </w:r>
          </w:p>
        </w:tc>
        <w:tc>
          <w:tcPr>
            <w:tcW w:w="2126" w:type="dxa"/>
            <w:hideMark/>
          </w:tcPr>
          <w:p w:rsidR="000B1E2A" w:rsidRDefault="000B1E2A" w:rsidP="006916C8">
            <w:pPr>
              <w:pStyle w:val="NormalWeb"/>
              <w:jc w:val="center"/>
            </w:pPr>
            <w:r>
              <w:t>15 August 2020</w:t>
            </w:r>
          </w:p>
        </w:tc>
        <w:tc>
          <w:tcPr>
            <w:tcW w:w="2927" w:type="dxa"/>
            <w:hideMark/>
          </w:tcPr>
          <w:p w:rsidR="000B1E2A" w:rsidRDefault="000B1E2A" w:rsidP="006916C8">
            <w:pPr>
              <w:pStyle w:val="NormalWeb"/>
              <w:jc w:val="center"/>
            </w:pPr>
            <w:r>
              <w:t>113</w:t>
            </w:r>
          </w:p>
        </w:tc>
      </w:tr>
      <w:tr w:rsidR="000B1E2A" w:rsidTr="00EC39E5">
        <w:tc>
          <w:tcPr>
            <w:tcW w:w="0" w:type="auto"/>
            <w:hideMark/>
          </w:tcPr>
          <w:p w:rsidR="000B1E2A" w:rsidRDefault="000B1E2A">
            <w:pPr>
              <w:pStyle w:val="NormalWeb"/>
            </w:pPr>
            <w:r>
              <w:t>SA</w:t>
            </w:r>
          </w:p>
        </w:tc>
        <w:tc>
          <w:tcPr>
            <w:tcW w:w="0" w:type="auto"/>
            <w:hideMark/>
          </w:tcPr>
          <w:p w:rsidR="000B1E2A" w:rsidRDefault="000B1E2A" w:rsidP="006916C8">
            <w:pPr>
              <w:pStyle w:val="NormalWeb"/>
              <w:jc w:val="center"/>
            </w:pPr>
            <w:r>
              <w:t>15 April 2020</w:t>
            </w:r>
          </w:p>
        </w:tc>
        <w:tc>
          <w:tcPr>
            <w:tcW w:w="2473" w:type="dxa"/>
            <w:hideMark/>
          </w:tcPr>
          <w:p w:rsidR="000B1E2A" w:rsidRDefault="000B1E2A" w:rsidP="006916C8">
            <w:pPr>
              <w:pStyle w:val="NormalWeb"/>
              <w:jc w:val="center"/>
            </w:pPr>
            <w:r>
              <w:t>235</w:t>
            </w:r>
          </w:p>
        </w:tc>
        <w:tc>
          <w:tcPr>
            <w:tcW w:w="2126" w:type="dxa"/>
            <w:hideMark/>
          </w:tcPr>
          <w:p w:rsidR="000B1E2A" w:rsidRDefault="000B1E2A" w:rsidP="006916C8">
            <w:pPr>
              <w:pStyle w:val="NormalWeb"/>
              <w:jc w:val="center"/>
            </w:pPr>
            <w:r>
              <w:t>29 November 2020</w:t>
            </w:r>
          </w:p>
        </w:tc>
        <w:tc>
          <w:tcPr>
            <w:tcW w:w="2927" w:type="dxa"/>
            <w:hideMark/>
          </w:tcPr>
          <w:p w:rsidR="000B1E2A" w:rsidRDefault="000B1E2A" w:rsidP="006916C8">
            <w:pPr>
              <w:pStyle w:val="NormalWeb"/>
              <w:jc w:val="center"/>
            </w:pPr>
            <w:r>
              <w:t>7</w:t>
            </w:r>
          </w:p>
        </w:tc>
      </w:tr>
      <w:tr w:rsidR="000B1E2A" w:rsidTr="00EC39E5">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Tas.</w:t>
            </w:r>
          </w:p>
        </w:tc>
        <w:tc>
          <w:tcPr>
            <w:tcW w:w="0" w:type="auto"/>
            <w:hideMark/>
          </w:tcPr>
          <w:p w:rsidR="000B1E2A" w:rsidRDefault="000B1E2A" w:rsidP="006916C8">
            <w:pPr>
              <w:pStyle w:val="NormalWeb"/>
              <w:jc w:val="center"/>
            </w:pPr>
            <w:r>
              <w:t>1 September 2020</w:t>
            </w:r>
          </w:p>
        </w:tc>
        <w:tc>
          <w:tcPr>
            <w:tcW w:w="2473" w:type="dxa"/>
            <w:hideMark/>
          </w:tcPr>
          <w:p w:rsidR="000B1E2A" w:rsidRDefault="000B1E2A" w:rsidP="006916C8">
            <w:pPr>
              <w:pStyle w:val="NormalWeb"/>
              <w:jc w:val="center"/>
            </w:pPr>
            <w:r>
              <w:t>96</w:t>
            </w:r>
          </w:p>
        </w:tc>
        <w:tc>
          <w:tcPr>
            <w:tcW w:w="2126" w:type="dxa"/>
            <w:hideMark/>
          </w:tcPr>
          <w:p w:rsidR="000B1E2A" w:rsidRDefault="000B1E2A" w:rsidP="006916C8">
            <w:pPr>
              <w:pStyle w:val="NormalWeb"/>
              <w:jc w:val="center"/>
            </w:pPr>
            <w:r>
              <w:t>1 September 2020</w:t>
            </w:r>
          </w:p>
        </w:tc>
        <w:tc>
          <w:tcPr>
            <w:tcW w:w="2927" w:type="dxa"/>
            <w:hideMark/>
          </w:tcPr>
          <w:p w:rsidR="000B1E2A" w:rsidRDefault="000B1E2A" w:rsidP="006916C8">
            <w:pPr>
              <w:pStyle w:val="NormalWeb"/>
              <w:jc w:val="center"/>
            </w:pPr>
            <w:r>
              <w:t>96</w:t>
            </w:r>
          </w:p>
        </w:tc>
      </w:tr>
      <w:tr w:rsidR="000B1E2A" w:rsidTr="00EC39E5">
        <w:tc>
          <w:tcPr>
            <w:tcW w:w="0" w:type="auto"/>
            <w:hideMark/>
          </w:tcPr>
          <w:p w:rsidR="000B1E2A" w:rsidRDefault="000B1E2A">
            <w:pPr>
              <w:pStyle w:val="NormalWeb"/>
            </w:pPr>
            <w:r>
              <w:t>NT</w:t>
            </w:r>
            <w:r w:rsidRPr="006916C8">
              <w:rPr>
                <w:vertAlign w:val="superscript"/>
              </w:rPr>
              <w:t>a</w:t>
            </w:r>
          </w:p>
        </w:tc>
        <w:tc>
          <w:tcPr>
            <w:tcW w:w="0" w:type="auto"/>
            <w:hideMark/>
          </w:tcPr>
          <w:p w:rsidR="000B1E2A" w:rsidRDefault="000B1E2A" w:rsidP="006916C8">
            <w:pPr>
              <w:pStyle w:val="NormalWeb"/>
              <w:jc w:val="center"/>
            </w:pPr>
            <w:r>
              <w:t>NA</w:t>
            </w:r>
          </w:p>
        </w:tc>
        <w:tc>
          <w:tcPr>
            <w:tcW w:w="2473" w:type="dxa"/>
            <w:hideMark/>
          </w:tcPr>
          <w:p w:rsidR="000B1E2A" w:rsidRDefault="000B1E2A" w:rsidP="006916C8">
            <w:pPr>
              <w:pStyle w:val="NormalWeb"/>
              <w:jc w:val="center"/>
            </w:pPr>
            <w:r>
              <w:t>NA</w:t>
            </w:r>
          </w:p>
        </w:tc>
        <w:tc>
          <w:tcPr>
            <w:tcW w:w="2126" w:type="dxa"/>
            <w:hideMark/>
          </w:tcPr>
          <w:p w:rsidR="000B1E2A" w:rsidRDefault="000B1E2A" w:rsidP="006916C8">
            <w:pPr>
              <w:pStyle w:val="NormalWeb"/>
              <w:jc w:val="center"/>
            </w:pPr>
            <w:r>
              <w:t>4 April 2020</w:t>
            </w:r>
          </w:p>
        </w:tc>
        <w:tc>
          <w:tcPr>
            <w:tcW w:w="2927" w:type="dxa"/>
            <w:hideMark/>
          </w:tcPr>
          <w:p w:rsidR="000B1E2A" w:rsidRDefault="000B1E2A" w:rsidP="006916C8">
            <w:pPr>
              <w:pStyle w:val="NormalWeb"/>
              <w:jc w:val="center"/>
            </w:pPr>
            <w:r>
              <w:t>246</w:t>
            </w:r>
          </w:p>
        </w:tc>
      </w:tr>
      <w:tr w:rsidR="000B1E2A" w:rsidRPr="00827CC4" w:rsidTr="00EC39E5">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rsidR="000B1E2A" w:rsidRPr="00827CC4" w:rsidRDefault="000B1E2A">
            <w:pPr>
              <w:pStyle w:val="NormalWeb"/>
              <w:rPr>
                <w:b/>
              </w:rPr>
            </w:pPr>
            <w:r w:rsidRPr="00827CC4">
              <w:rPr>
                <w:b/>
              </w:rPr>
              <w:t>ACT</w:t>
            </w:r>
          </w:p>
        </w:tc>
        <w:tc>
          <w:tcPr>
            <w:tcW w:w="0" w:type="auto"/>
            <w:shd w:val="clear" w:color="auto" w:fill="FDE9D9" w:themeFill="accent6" w:themeFillTint="33"/>
            <w:hideMark/>
          </w:tcPr>
          <w:p w:rsidR="000B1E2A" w:rsidRPr="00827CC4" w:rsidRDefault="000B1E2A" w:rsidP="006916C8">
            <w:pPr>
              <w:pStyle w:val="NormalWeb"/>
              <w:jc w:val="center"/>
              <w:rPr>
                <w:b/>
              </w:rPr>
            </w:pPr>
            <w:r w:rsidRPr="00827CC4">
              <w:rPr>
                <w:b/>
              </w:rPr>
              <w:t>28 March 2020</w:t>
            </w:r>
          </w:p>
        </w:tc>
        <w:tc>
          <w:tcPr>
            <w:tcW w:w="2473" w:type="dxa"/>
            <w:shd w:val="clear" w:color="auto" w:fill="FDE9D9" w:themeFill="accent6" w:themeFillTint="33"/>
            <w:hideMark/>
          </w:tcPr>
          <w:p w:rsidR="000B1E2A" w:rsidRPr="00827CC4" w:rsidRDefault="000B1E2A" w:rsidP="006916C8">
            <w:pPr>
              <w:pStyle w:val="NormalWeb"/>
              <w:jc w:val="center"/>
              <w:rPr>
                <w:b/>
              </w:rPr>
            </w:pPr>
            <w:r w:rsidRPr="00827CC4">
              <w:rPr>
                <w:b/>
              </w:rPr>
              <w:t>253</w:t>
            </w:r>
          </w:p>
        </w:tc>
        <w:tc>
          <w:tcPr>
            <w:tcW w:w="2126" w:type="dxa"/>
            <w:shd w:val="clear" w:color="auto" w:fill="FDE9D9" w:themeFill="accent6" w:themeFillTint="33"/>
            <w:hideMark/>
          </w:tcPr>
          <w:p w:rsidR="000B1E2A" w:rsidRPr="00827CC4" w:rsidRDefault="000B1E2A" w:rsidP="006916C8">
            <w:pPr>
              <w:pStyle w:val="NormalWeb"/>
              <w:jc w:val="center"/>
              <w:rPr>
                <w:b/>
              </w:rPr>
            </w:pPr>
            <w:r w:rsidRPr="00827CC4">
              <w:rPr>
                <w:b/>
              </w:rPr>
              <w:t>9 July 2020</w:t>
            </w:r>
          </w:p>
        </w:tc>
        <w:tc>
          <w:tcPr>
            <w:tcW w:w="2927" w:type="dxa"/>
            <w:shd w:val="clear" w:color="auto" w:fill="FDE9D9" w:themeFill="accent6" w:themeFillTint="33"/>
            <w:hideMark/>
          </w:tcPr>
          <w:p w:rsidR="000B1E2A" w:rsidRPr="00827CC4" w:rsidRDefault="000B1E2A" w:rsidP="006916C8">
            <w:pPr>
              <w:pStyle w:val="NormalWeb"/>
              <w:jc w:val="center"/>
              <w:rPr>
                <w:b/>
              </w:rPr>
            </w:pPr>
            <w:r w:rsidRPr="00827CC4">
              <w:rPr>
                <w:b/>
              </w:rPr>
              <w:t>150</w:t>
            </w:r>
          </w:p>
        </w:tc>
      </w:tr>
    </w:tbl>
    <w:p w:rsidR="000B1E2A" w:rsidRPr="00371D29" w:rsidRDefault="000B1E2A" w:rsidP="00371D29">
      <w:pPr>
        <w:pStyle w:val="CDIfootnotes"/>
      </w:pPr>
      <w:r w:rsidRPr="00371D29">
        <w:t>a</w:t>
      </w:r>
      <w:r w:rsidRPr="00371D29">
        <w:tab/>
        <w:t>The Northern Territory has not reported any locally-acquired cases with an unknown source of infection.</w:t>
      </w:r>
    </w:p>
    <w:p w:rsidR="00686C76" w:rsidRDefault="00686C76" w:rsidP="00061650">
      <w:pPr>
        <w:pStyle w:val="Heading2"/>
        <w:rPr>
          <w:rFonts w:eastAsia="Times New Roman"/>
        </w:rPr>
      </w:pPr>
      <w:r>
        <w:rPr>
          <w:rFonts w:eastAsia="Times New Roman"/>
        </w:rPr>
        <w:t>Demographic features</w:t>
      </w:r>
    </w:p>
    <w:p w:rsidR="000B1E2A" w:rsidRPr="00686C76" w:rsidRDefault="000B1E2A" w:rsidP="00686C76">
      <w:pPr>
        <w:pStyle w:val="Heading3"/>
        <w:rPr>
          <w:rFonts w:eastAsia="Times New Roman"/>
          <w:i/>
        </w:rPr>
      </w:pPr>
      <w:r w:rsidRPr="00686C76">
        <w:rPr>
          <w:rFonts w:eastAsia="Times New Roman"/>
          <w:i/>
        </w:rPr>
        <w:t xml:space="preserve">(NNDSS) </w:t>
      </w:r>
    </w:p>
    <w:p w:rsidR="000B1E2A" w:rsidRDefault="000B1E2A" w:rsidP="006B2778">
      <w:r>
        <w:t>In this reporting period, the largest number of cases occurred in those aged 30 to 39 years (36</w:t>
      </w:r>
      <w:r w:rsidR="000731A8">
        <w:t>/109</w:t>
      </w:r>
      <w:r>
        <w:t xml:space="preserve"> cases). For all notifications to date, the highest rate of infection was in those aged over 90 years old with a rate of 386.8 per </w:t>
      </w:r>
      <w:r>
        <w:lastRenderedPageBreak/>
        <w:t xml:space="preserve">100,000 population (Appendix A, Table A.1). Children aged under 10 years old had the lowest rate of infection (45.3 cases per 100,000 population), despite comparable testing rates to other age groups. </w:t>
      </w:r>
    </w:p>
    <w:p w:rsidR="000731A8" w:rsidRDefault="000731A8" w:rsidP="000731A8">
      <w:pPr>
        <w:rPr>
          <w:b/>
        </w:rPr>
      </w:pPr>
      <w:r w:rsidRPr="000731A8">
        <w:t xml:space="preserve">Cumulatively, the male-to-female rate ratio of cases was approximately 1:1 in most age groups. Notification rates were higher among females than among males in the 20–29 years age group and those aged ≥ 80 years old, and higher among males than among females in the 70–79 years age group (Figure 4). The largest difference in cumulative rates was in the 90+ years age group, where the cumulative rate among males was 333.7 cases per 100,000 population and among females 413.3 cases per 100,000 population (Appendix A, Table A.1). </w:t>
      </w:r>
    </w:p>
    <w:p w:rsidR="000B1E2A" w:rsidRPr="000731A8" w:rsidRDefault="000B1E2A" w:rsidP="000731A8">
      <w:pPr>
        <w:pStyle w:val="CDIFigures"/>
      </w:pPr>
      <w:r w:rsidRPr="000731A8">
        <w:t xml:space="preserve">Figure 4: Cumulative COVID-19 </w:t>
      </w:r>
      <w:r w:rsidR="004A3C58" w:rsidRPr="000731A8">
        <w:t>rate</w:t>
      </w:r>
      <w:r w:rsidRPr="000731A8">
        <w:t>, by age group and sex, Australia, 23 January 2020 to 6 December 2020</w:t>
      </w:r>
    </w:p>
    <w:p w:rsidR="000B1E2A" w:rsidRDefault="000B1E2A">
      <w:pPr>
        <w:rPr>
          <w:rFonts w:eastAsia="Times New Roman"/>
        </w:rPr>
      </w:pPr>
      <w:r>
        <w:rPr>
          <w:rFonts w:eastAsia="Times New Roman"/>
          <w:noProof/>
        </w:rPr>
        <w:drawing>
          <wp:inline distT="0" distB="0" distL="0" distR="0">
            <wp:extent cx="6629400" cy="4376660"/>
            <wp:effectExtent l="0" t="0" r="0" b="5080"/>
            <wp:docPr id="4" name="Picture 4" descr="A bar chart showing the cumulative rates per 100,000 population of confirmed COVID-19 cases as at 6 Decem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cumulative rates per 100,000 population of confirmed COVID-19 cases as at 6 December by 10-year age group and sex. Cumulatively, since the outbreak’s onset, the highest notification rates have been in the 90 and over age group, followed by the 20 to 29 and 80 to 89 age groups. In all three of these age groups, females have a higher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1668" cy="4378157"/>
                    </a:xfrm>
                    <a:prstGeom prst="rect">
                      <a:avLst/>
                    </a:prstGeom>
                  </pic:spPr>
                </pic:pic>
              </a:graphicData>
            </a:graphic>
          </wp:inline>
        </w:drawing>
      </w:r>
    </w:p>
    <w:p w:rsidR="000B1E2A" w:rsidRDefault="000B1E2A" w:rsidP="006B2778">
      <w:r>
        <w:t xml:space="preserve">Since the beginning of the epidemic in Australia, the median age of all cases was 37 years old (interquartile range, IQR: 25–56) which has not changed since the beginning of August. Prior to 1 June 2020, COVID-19 cases were slightly older, with a median age of 46 years old (IQR: 29–62), associated with a high proportion of cases having a recent travel history or acquisition on a cruise ship. In cases reported after 1 June 2020, the median age was 34 years old (IQR: 23–53) reflecting transmission in the community and across a range of settings, especially in Victoria. The median age of cases in this reporting fortnight was 36 years old (IQR: 29–47). </w:t>
      </w:r>
    </w:p>
    <w:p w:rsidR="00D3757F" w:rsidRDefault="000B1E2A" w:rsidP="00B16F27">
      <w:pPr>
        <w:pStyle w:val="Heading2"/>
        <w:rPr>
          <w:rFonts w:eastAsia="Times New Roman"/>
        </w:rPr>
      </w:pPr>
      <w:r>
        <w:rPr>
          <w:rFonts w:eastAsia="Times New Roman"/>
        </w:rPr>
        <w:t>Aboriginal an</w:t>
      </w:r>
      <w:r w:rsidR="00D3757F">
        <w:rPr>
          <w:rFonts w:eastAsia="Times New Roman"/>
        </w:rPr>
        <w:t>d Torres Strait Islander people</w:t>
      </w:r>
    </w:p>
    <w:p w:rsidR="000B1E2A" w:rsidRPr="00D3757F" w:rsidRDefault="000B1E2A" w:rsidP="00D3757F">
      <w:pPr>
        <w:pStyle w:val="Heading3"/>
        <w:rPr>
          <w:rFonts w:eastAsia="Times New Roman"/>
          <w:i/>
        </w:rPr>
      </w:pPr>
      <w:r w:rsidRPr="00D3757F">
        <w:rPr>
          <w:rFonts w:eastAsia="Times New Roman"/>
          <w:i/>
        </w:rPr>
        <w:t xml:space="preserve">(NNDSS) </w:t>
      </w:r>
    </w:p>
    <w:p w:rsidR="00725C6C" w:rsidRDefault="002603B8" w:rsidP="00725C6C">
      <w:pPr>
        <w:rPr>
          <w:b/>
        </w:rPr>
      </w:pPr>
      <w:r w:rsidRPr="002603B8">
        <w:t>There have been 147 confirmed cases of COVID-19 notified in Aboriginal and Torres Strait Islander people since the beginning of the epidemic. This represents approximat</w:t>
      </w:r>
      <w:r w:rsidR="00B562AB">
        <w:t>ely 0.5% of all confirmed cases</w:t>
      </w:r>
      <w:bookmarkStart w:id="0" w:name="_GoBack"/>
      <w:bookmarkEnd w:id="0"/>
      <w:r w:rsidRPr="002603B8">
        <w:t xml:space="preserve">. Table 4 compares the remoteness of cases in Aboriginal and Torres Strait Islander people with those in the Non-Indigenous population. No </w:t>
      </w:r>
      <w:r w:rsidRPr="002603B8">
        <w:lastRenderedPageBreak/>
        <w:t>new overseas-acquired cases have been reported among Aboriginal and Torres Strait Islander people since the end of August and the last locally-acquired case was reported at the start of September.</w:t>
      </w:r>
    </w:p>
    <w:p w:rsidR="000B1E2A" w:rsidRPr="00725C6C" w:rsidRDefault="000B1E2A" w:rsidP="00725C6C">
      <w:pPr>
        <w:pStyle w:val="CDIFigures"/>
      </w:pPr>
      <w:r w:rsidRPr="00725C6C">
        <w:t>Table 4: COVID-19 notifications by Aboriginal and Torres Strait Islander status by jurisdiction, source of acquisition and remoteness classification,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47 notifications in Aboriginal and Torres Strait Islander people: 31 of these cases have been overseas acquired; 90 locally acquired in a major city; 15 cases locally acquired in inner regional Australia; six cases acquired in outer regional Australia; one case locally acquired in remote or very remote Australia; four cases interstate acquired; and no cases with unknown source of acquisition. Of 21 cases to date reported in remote or very remote Australia, one is in an Aboriginal or Torres Strait Islander person.&#10;"/>
      </w:tblPr>
      <w:tblGrid>
        <w:gridCol w:w="2268"/>
        <w:gridCol w:w="993"/>
        <w:gridCol w:w="992"/>
        <w:gridCol w:w="992"/>
        <w:gridCol w:w="1390"/>
        <w:gridCol w:w="1020"/>
        <w:gridCol w:w="1015"/>
        <w:gridCol w:w="1069"/>
        <w:gridCol w:w="727"/>
      </w:tblGrid>
      <w:tr w:rsidR="008E5C28" w:rsidRPr="008E5C28" w:rsidTr="00FC3A0C">
        <w:trPr>
          <w:cnfStyle w:val="100000000000" w:firstRow="1" w:lastRow="0" w:firstColumn="0" w:lastColumn="0" w:oddVBand="0" w:evenVBand="0" w:oddHBand="0" w:evenHBand="0" w:firstRowFirstColumn="0" w:firstRowLastColumn="0" w:lastRowFirstColumn="0" w:lastRowLastColumn="0"/>
          <w:tblHeader/>
        </w:trPr>
        <w:tc>
          <w:tcPr>
            <w:tcW w:w="2268" w:type="dxa"/>
            <w:vMerge w:val="restart"/>
            <w:tcBorders>
              <w:bottom w:val="single" w:sz="2" w:space="0" w:color="FFFFFF" w:themeColor="background1"/>
              <w:right w:val="single" w:sz="2" w:space="0" w:color="FFFFFF" w:themeColor="background1"/>
            </w:tcBorders>
            <w:hideMark/>
          </w:tcPr>
          <w:p w:rsidR="000B1E2A" w:rsidRPr="008E5C28" w:rsidRDefault="000B1E2A">
            <w:pPr>
              <w:rPr>
                <w:color w:val="FFFFFF" w:themeColor="background1"/>
              </w:rPr>
            </w:pPr>
          </w:p>
        </w:tc>
        <w:tc>
          <w:tcPr>
            <w:tcW w:w="4367" w:type="dxa"/>
            <w:gridSpan w:val="4"/>
            <w:tcBorders>
              <w:left w:val="single" w:sz="2" w:space="0" w:color="FFFFFF" w:themeColor="background1"/>
              <w:bottom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sz w:val="24"/>
                <w:szCs w:val="24"/>
              </w:rPr>
            </w:pPr>
            <w:r w:rsidRPr="008E5C28">
              <w:rPr>
                <w:color w:val="FFFFFF" w:themeColor="background1"/>
              </w:rPr>
              <w:t>Locally acquired</w:t>
            </w:r>
          </w:p>
        </w:tc>
        <w:tc>
          <w:tcPr>
            <w:tcW w:w="1020"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Interstate acquired</w:t>
            </w:r>
          </w:p>
        </w:tc>
        <w:tc>
          <w:tcPr>
            <w:tcW w:w="1015"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Overseas acquired</w:t>
            </w:r>
          </w:p>
        </w:tc>
        <w:tc>
          <w:tcPr>
            <w:tcW w:w="1069" w:type="dxa"/>
            <w:vMerge w:val="restart"/>
            <w:tcBorders>
              <w:left w:val="single" w:sz="2" w:space="0" w:color="FFFFFF" w:themeColor="background1"/>
              <w:bottom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Unknown</w:t>
            </w:r>
            <w:r w:rsidRPr="00FC3A0C">
              <w:rPr>
                <w:color w:val="FFFFFF" w:themeColor="background1"/>
                <w:vertAlign w:val="superscript"/>
              </w:rPr>
              <w:t>a</w:t>
            </w:r>
          </w:p>
        </w:tc>
        <w:tc>
          <w:tcPr>
            <w:tcW w:w="0" w:type="auto"/>
            <w:vMerge w:val="restart"/>
            <w:tcBorders>
              <w:left w:val="single" w:sz="2" w:space="0" w:color="FFFFFF" w:themeColor="background1"/>
              <w:bottom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Total</w:t>
            </w:r>
          </w:p>
        </w:tc>
      </w:tr>
      <w:tr w:rsidR="008E5C28" w:rsidRPr="008E5C28" w:rsidTr="00FC3A0C">
        <w:trPr>
          <w:cnfStyle w:val="100000000000" w:firstRow="1" w:lastRow="0" w:firstColumn="0" w:lastColumn="0" w:oddVBand="0" w:evenVBand="0" w:oddHBand="0" w:evenHBand="0" w:firstRowFirstColumn="0" w:firstRowLastColumn="0" w:lastRowFirstColumn="0" w:lastRowLastColumn="0"/>
          <w:tblHeader/>
        </w:trPr>
        <w:tc>
          <w:tcPr>
            <w:tcW w:w="2268" w:type="dxa"/>
            <w:vMerge/>
            <w:tcBorders>
              <w:top w:val="single" w:sz="2" w:space="0" w:color="FFFFFF" w:themeColor="background1"/>
              <w:right w:val="single" w:sz="2" w:space="0" w:color="FFFFFF" w:themeColor="background1"/>
            </w:tcBorders>
            <w:hideMark/>
          </w:tcPr>
          <w:p w:rsidR="000B1E2A" w:rsidRPr="008E5C28" w:rsidRDefault="000B1E2A">
            <w:pPr>
              <w:rPr>
                <w:color w:val="FFFFFF" w:themeColor="background1"/>
                <w:sz w:val="24"/>
                <w:szCs w:val="24"/>
              </w:rPr>
            </w:pP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Major Cities of Australia</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Inner Regional Australia</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Outer Regional Australia</w:t>
            </w:r>
          </w:p>
        </w:tc>
        <w:tc>
          <w:tcPr>
            <w:tcW w:w="1390" w:type="dxa"/>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lang w:val="en-US"/>
              </w:rPr>
              <w:t>Remote / Very Remote Australia</w:t>
            </w:r>
          </w:p>
        </w:tc>
        <w:tc>
          <w:tcPr>
            <w:tcW w:w="1020" w:type="dxa"/>
            <w:vMerge/>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jc w:val="center"/>
              <w:rPr>
                <w:color w:val="FFFFFF" w:themeColor="background1"/>
                <w:sz w:val="24"/>
                <w:szCs w:val="24"/>
              </w:rPr>
            </w:pPr>
          </w:p>
        </w:tc>
        <w:tc>
          <w:tcPr>
            <w:tcW w:w="1015" w:type="dxa"/>
            <w:vMerge/>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jc w:val="center"/>
              <w:rPr>
                <w:color w:val="FFFFFF" w:themeColor="background1"/>
                <w:sz w:val="24"/>
                <w:szCs w:val="24"/>
              </w:rPr>
            </w:pPr>
          </w:p>
        </w:tc>
        <w:tc>
          <w:tcPr>
            <w:tcW w:w="1069" w:type="dxa"/>
            <w:vMerge/>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rsidR="000B1E2A" w:rsidRPr="008E5C28" w:rsidRDefault="000B1E2A" w:rsidP="008E5C28">
            <w:pPr>
              <w:jc w:val="center"/>
              <w:rPr>
                <w:color w:val="FFFFFF" w:themeColor="background1"/>
                <w:sz w:val="24"/>
                <w:szCs w:val="24"/>
              </w:rPr>
            </w:pPr>
          </w:p>
        </w:tc>
      </w:tr>
      <w:tr w:rsidR="008E5C28" w:rsidTr="00FC3A0C">
        <w:tc>
          <w:tcPr>
            <w:tcW w:w="2268" w:type="dxa"/>
            <w:hideMark/>
          </w:tcPr>
          <w:p w:rsidR="000B1E2A" w:rsidRDefault="000B1E2A">
            <w:pPr>
              <w:pStyle w:val="NormalWeb"/>
            </w:pPr>
            <w:r>
              <w:t>Aboriginal and</w:t>
            </w:r>
            <w:r>
              <w:br/>
              <w:t>Torres Strait Islander</w:t>
            </w:r>
            <w:r w:rsidRPr="008E5C28">
              <w:rPr>
                <w:vertAlign w:val="superscript"/>
              </w:rPr>
              <w:t>b</w:t>
            </w:r>
          </w:p>
        </w:tc>
        <w:tc>
          <w:tcPr>
            <w:tcW w:w="993" w:type="dxa"/>
            <w:hideMark/>
          </w:tcPr>
          <w:p w:rsidR="000B1E2A" w:rsidRDefault="000B1E2A" w:rsidP="008E5C28">
            <w:pPr>
              <w:pStyle w:val="NormalWeb"/>
              <w:jc w:val="center"/>
            </w:pPr>
            <w:r>
              <w:t>90</w:t>
            </w:r>
          </w:p>
        </w:tc>
        <w:tc>
          <w:tcPr>
            <w:tcW w:w="992" w:type="dxa"/>
            <w:hideMark/>
          </w:tcPr>
          <w:p w:rsidR="000B1E2A" w:rsidRDefault="000B1E2A" w:rsidP="008E5C28">
            <w:pPr>
              <w:pStyle w:val="NormalWeb"/>
              <w:jc w:val="center"/>
            </w:pPr>
            <w:r>
              <w:t>15</w:t>
            </w:r>
          </w:p>
        </w:tc>
        <w:tc>
          <w:tcPr>
            <w:tcW w:w="992" w:type="dxa"/>
            <w:hideMark/>
          </w:tcPr>
          <w:p w:rsidR="000B1E2A" w:rsidRDefault="000B1E2A" w:rsidP="008E5C28">
            <w:pPr>
              <w:pStyle w:val="NormalWeb"/>
              <w:jc w:val="center"/>
            </w:pPr>
            <w:r>
              <w:t>6</w:t>
            </w:r>
          </w:p>
        </w:tc>
        <w:tc>
          <w:tcPr>
            <w:tcW w:w="1390" w:type="dxa"/>
            <w:hideMark/>
          </w:tcPr>
          <w:p w:rsidR="000B1E2A" w:rsidRDefault="000B1E2A" w:rsidP="008E5C28">
            <w:pPr>
              <w:pStyle w:val="NormalWeb"/>
              <w:jc w:val="center"/>
            </w:pPr>
            <w:r>
              <w:t>1</w:t>
            </w:r>
          </w:p>
        </w:tc>
        <w:tc>
          <w:tcPr>
            <w:tcW w:w="1020" w:type="dxa"/>
            <w:hideMark/>
          </w:tcPr>
          <w:p w:rsidR="000B1E2A" w:rsidRDefault="000B1E2A" w:rsidP="008E5C28">
            <w:pPr>
              <w:pStyle w:val="NormalWeb"/>
              <w:jc w:val="center"/>
            </w:pPr>
            <w:r>
              <w:t>4</w:t>
            </w:r>
          </w:p>
        </w:tc>
        <w:tc>
          <w:tcPr>
            <w:tcW w:w="1015" w:type="dxa"/>
            <w:hideMark/>
          </w:tcPr>
          <w:p w:rsidR="000B1E2A" w:rsidRDefault="000B1E2A" w:rsidP="008E5C28">
            <w:pPr>
              <w:pStyle w:val="NormalWeb"/>
              <w:jc w:val="center"/>
            </w:pPr>
            <w:r>
              <w:t>31</w:t>
            </w:r>
          </w:p>
        </w:tc>
        <w:tc>
          <w:tcPr>
            <w:tcW w:w="1069" w:type="dxa"/>
            <w:hideMark/>
          </w:tcPr>
          <w:p w:rsidR="000B1E2A" w:rsidRDefault="000B1E2A" w:rsidP="008E5C28">
            <w:pPr>
              <w:pStyle w:val="NormalWeb"/>
              <w:jc w:val="center"/>
            </w:pPr>
            <w:r>
              <w:t>0</w:t>
            </w:r>
          </w:p>
        </w:tc>
        <w:tc>
          <w:tcPr>
            <w:tcW w:w="0" w:type="auto"/>
            <w:hideMark/>
          </w:tcPr>
          <w:p w:rsidR="000B1E2A" w:rsidRDefault="000B1E2A" w:rsidP="008E5C28">
            <w:pPr>
              <w:pStyle w:val="NormalWeb"/>
              <w:jc w:val="center"/>
            </w:pPr>
            <w:r>
              <w:rPr>
                <w:lang w:val="en-US"/>
              </w:rPr>
              <w:t>147</w:t>
            </w:r>
          </w:p>
        </w:tc>
      </w:tr>
      <w:tr w:rsidR="00FC3A0C" w:rsidTr="00FC3A0C">
        <w:trPr>
          <w:cnfStyle w:val="000000010000" w:firstRow="0" w:lastRow="0" w:firstColumn="0" w:lastColumn="0" w:oddVBand="0" w:evenVBand="0" w:oddHBand="0" w:evenHBand="1" w:firstRowFirstColumn="0" w:firstRowLastColumn="0" w:lastRowFirstColumn="0" w:lastRowLastColumn="0"/>
        </w:trPr>
        <w:tc>
          <w:tcPr>
            <w:tcW w:w="2268" w:type="dxa"/>
            <w:hideMark/>
          </w:tcPr>
          <w:p w:rsidR="000B1E2A" w:rsidRDefault="000B1E2A">
            <w:pPr>
              <w:pStyle w:val="NormalWeb"/>
            </w:pPr>
            <w:r>
              <w:t>Non-Indigenous</w:t>
            </w:r>
          </w:p>
        </w:tc>
        <w:tc>
          <w:tcPr>
            <w:tcW w:w="993" w:type="dxa"/>
            <w:hideMark/>
          </w:tcPr>
          <w:p w:rsidR="000B1E2A" w:rsidRDefault="000B1E2A" w:rsidP="008E5C28">
            <w:pPr>
              <w:pStyle w:val="NormalWeb"/>
              <w:jc w:val="center"/>
            </w:pPr>
            <w:r>
              <w:t>20,464</w:t>
            </w:r>
          </w:p>
        </w:tc>
        <w:tc>
          <w:tcPr>
            <w:tcW w:w="992" w:type="dxa"/>
            <w:hideMark/>
          </w:tcPr>
          <w:p w:rsidR="000B1E2A" w:rsidRDefault="000B1E2A" w:rsidP="008E5C28">
            <w:pPr>
              <w:pStyle w:val="NormalWeb"/>
              <w:jc w:val="center"/>
            </w:pPr>
            <w:r>
              <w:t>914</w:t>
            </w:r>
          </w:p>
        </w:tc>
        <w:tc>
          <w:tcPr>
            <w:tcW w:w="992" w:type="dxa"/>
            <w:hideMark/>
          </w:tcPr>
          <w:p w:rsidR="000B1E2A" w:rsidRDefault="000B1E2A" w:rsidP="008E5C28">
            <w:pPr>
              <w:pStyle w:val="NormalWeb"/>
              <w:jc w:val="center"/>
            </w:pPr>
            <w:r>
              <w:t>223</w:t>
            </w:r>
          </w:p>
        </w:tc>
        <w:tc>
          <w:tcPr>
            <w:tcW w:w="1390" w:type="dxa"/>
            <w:hideMark/>
          </w:tcPr>
          <w:p w:rsidR="000B1E2A" w:rsidRDefault="000B1E2A" w:rsidP="008E5C28">
            <w:pPr>
              <w:pStyle w:val="NormalWeb"/>
              <w:jc w:val="center"/>
            </w:pPr>
            <w:r>
              <w:t>20</w:t>
            </w:r>
          </w:p>
        </w:tc>
        <w:tc>
          <w:tcPr>
            <w:tcW w:w="1020" w:type="dxa"/>
            <w:hideMark/>
          </w:tcPr>
          <w:p w:rsidR="000B1E2A" w:rsidRDefault="000B1E2A" w:rsidP="008E5C28">
            <w:pPr>
              <w:pStyle w:val="NormalWeb"/>
              <w:jc w:val="center"/>
            </w:pPr>
            <w:r>
              <w:t>151</w:t>
            </w:r>
          </w:p>
        </w:tc>
        <w:tc>
          <w:tcPr>
            <w:tcW w:w="1015" w:type="dxa"/>
            <w:hideMark/>
          </w:tcPr>
          <w:p w:rsidR="000B1E2A" w:rsidRDefault="000B1E2A" w:rsidP="008E5C28">
            <w:pPr>
              <w:pStyle w:val="NormalWeb"/>
              <w:jc w:val="center"/>
            </w:pPr>
            <w:r>
              <w:t>5,898</w:t>
            </w:r>
          </w:p>
        </w:tc>
        <w:tc>
          <w:tcPr>
            <w:tcW w:w="1069" w:type="dxa"/>
            <w:hideMark/>
          </w:tcPr>
          <w:p w:rsidR="000B1E2A" w:rsidRDefault="000B1E2A" w:rsidP="008E5C28">
            <w:pPr>
              <w:pStyle w:val="NormalWeb"/>
              <w:jc w:val="center"/>
            </w:pPr>
            <w:r>
              <w:t>203</w:t>
            </w:r>
          </w:p>
        </w:tc>
        <w:tc>
          <w:tcPr>
            <w:tcW w:w="0" w:type="auto"/>
            <w:hideMark/>
          </w:tcPr>
          <w:p w:rsidR="000B1E2A" w:rsidRDefault="000B1E2A" w:rsidP="008E5C28">
            <w:pPr>
              <w:pStyle w:val="NormalWeb"/>
              <w:jc w:val="center"/>
            </w:pPr>
            <w:r>
              <w:rPr>
                <w:lang w:val="en-US"/>
              </w:rPr>
              <w:t>27,900</w:t>
            </w:r>
          </w:p>
        </w:tc>
      </w:tr>
    </w:tbl>
    <w:p w:rsidR="000B1E2A" w:rsidRDefault="000B1E2A" w:rsidP="006B2778">
      <w:pPr>
        <w:pStyle w:val="CDIfootnotes"/>
      </w:pPr>
      <w:r>
        <w:t>a</w:t>
      </w:r>
      <w:r>
        <w:tab/>
        <w:t>Includes 28 Non-Indigenous cases classified as overseas residents who were diagnosed in Australia and 175 Non-Indigenous cases with an unknown remoteness classification.</w:t>
      </w:r>
    </w:p>
    <w:p w:rsidR="000B1E2A" w:rsidRDefault="000B1E2A" w:rsidP="006B2778">
      <w:pPr>
        <w:pStyle w:val="CDIfootnotes"/>
      </w:pPr>
      <w:r>
        <w:t>b</w:t>
      </w:r>
      <w:r>
        <w:tab/>
        <w:t>Excludes one probable Aboriginal and Torres Strait Islander case.</w:t>
      </w:r>
    </w:p>
    <w:p w:rsidR="000B1E2A" w:rsidRDefault="000B1E2A" w:rsidP="006B2778">
      <w:r>
        <w:t xml:space="preserve">The median age of COVID-19 cases in Aboriginal and Torres Strait Islander people was 31 years old (IQR: 21–49), which was younger than for Non-Indigenous cases where the median age was 37 years old (IQR: 25–56). </w:t>
      </w:r>
    </w:p>
    <w:p w:rsidR="000B1E2A" w:rsidRDefault="000B1E2A" w:rsidP="006B2778">
      <w:r>
        <w:t>The notification rate across all age groups was higher in Non-Indigenous people than in Aboriginal and Torres Strait Islander people (Figure 5). The age-standardised Aboriginal and Torres Strait Islander:Non-Indigenous notification rate ratio was 0.2, indicating that the Aboriginal and Torres Strait Islander population had a lower COVID-19 case rate than the Non-Indigenous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among Aboriginal and Torres Strait Islander cases (6.9 cases per 100,000 population).</w:t>
      </w:r>
    </w:p>
    <w:p w:rsidR="000B1E2A" w:rsidRDefault="000B1E2A" w:rsidP="004B1767">
      <w:pPr>
        <w:pStyle w:val="CDIFigures"/>
      </w:pPr>
      <w:r>
        <w:lastRenderedPageBreak/>
        <w:t>Figure 5: National COVID-19 notification rate per 100,000 population by age group, Aboriginal and Torres Strait Islander people and Non-Indigenous people, Australia, 23 January – 6 December 2020</w:t>
      </w:r>
      <w:r>
        <w:rPr>
          <w:noProof/>
        </w:rPr>
        <w:drawing>
          <wp:inline distT="0" distB="0" distL="0" distR="0">
            <wp:extent cx="6625742" cy="5316463"/>
            <wp:effectExtent l="0" t="0" r="3810" b="0"/>
            <wp:docPr id="5"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29988" cy="5319870"/>
                    </a:xfrm>
                    <a:prstGeom prst="rect">
                      <a:avLst/>
                    </a:prstGeom>
                  </pic:spPr>
                </pic:pic>
              </a:graphicData>
            </a:graphic>
          </wp:inline>
        </w:drawing>
      </w:r>
    </w:p>
    <w:p w:rsidR="00D3757F" w:rsidRDefault="00D3757F" w:rsidP="00B16F27">
      <w:pPr>
        <w:pStyle w:val="Heading2"/>
      </w:pPr>
      <w:r>
        <w:t>Clusters and outbreaks</w:t>
      </w:r>
    </w:p>
    <w:p w:rsidR="000B1E2A" w:rsidRPr="00D3757F" w:rsidRDefault="000B1E2A" w:rsidP="00D3757F">
      <w:pPr>
        <w:pStyle w:val="Heading3"/>
        <w:rPr>
          <w:i/>
        </w:rPr>
      </w:pPr>
      <w:r w:rsidRPr="00D3757F">
        <w:rPr>
          <w:i/>
        </w:rPr>
        <w:t xml:space="preserve">(State and territory reporting) </w:t>
      </w:r>
    </w:p>
    <w:p w:rsidR="000B1E2A" w:rsidRDefault="000B1E2A">
      <w:pPr>
        <w:pStyle w:val="NormalWeb"/>
      </w:pPr>
      <w:r>
        <w:t xml:space="preserve">For the fortnight ending 6 December 2020, there was a total of four </w:t>
      </w:r>
      <w:r w:rsidR="006B2787">
        <w:t xml:space="preserve">open </w:t>
      </w:r>
      <w:r>
        <w:t xml:space="preserve">outbreaks associated with 26 cases. These outbreaks were all in South Australia as associated with the ‘Parafield cluster’. Outbreaks were reported in the following settings: quarantine facility (1), extended family setting (1); workplace (1); and education facility (1). </w:t>
      </w:r>
    </w:p>
    <w:p w:rsidR="00315E2F" w:rsidRDefault="00FB35E2">
      <w:pPr>
        <w:rPr>
          <w:b/>
        </w:rPr>
      </w:pPr>
      <w:r w:rsidRPr="00FB35E2">
        <w:t xml:space="preserve">Nationally, since the beginning of the epidemic, there have been 830 outbreaks associated with 13,238 cases; 2,007 hospitalisations; and 799 deaths. Consistent with the national epidemic case trend, the first peak in outbreaks occurred in mid-March (Figure 6), which was followed by a rapid increase in outbreaks beginning in early July, corresponding with community transmission in Victoria. </w:t>
      </w:r>
      <w:r w:rsidR="00315E2F">
        <w:br w:type="page"/>
      </w:r>
    </w:p>
    <w:p w:rsidR="000B1E2A" w:rsidRDefault="000B1E2A" w:rsidP="008E5C28">
      <w:pPr>
        <w:pStyle w:val="CDIFigures"/>
      </w:pPr>
      <w:r>
        <w:lastRenderedPageBreak/>
        <w:t>Figure 6: Number of outbreaks throughout the course of the pandemic, Australia, 6 December 2020</w:t>
      </w:r>
    </w:p>
    <w:p w:rsidR="000B1E2A" w:rsidRDefault="000B1E2A">
      <w:pPr>
        <w:rPr>
          <w:rFonts w:eastAsia="Times New Roman"/>
        </w:rPr>
      </w:pPr>
      <w:r>
        <w:rPr>
          <w:rFonts w:eastAsia="Times New Roman"/>
          <w:noProof/>
        </w:rPr>
        <w:drawing>
          <wp:inline distT="0" distB="0" distL="0" distR="0">
            <wp:extent cx="6629400" cy="4628696"/>
            <wp:effectExtent l="0" t="0" r="0" b="635"/>
            <wp:docPr id="6" name="Picture 6"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number of open COVID-19 outbreaks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7727" cy="4634510"/>
                    </a:xfrm>
                    <a:prstGeom prst="rect">
                      <a:avLst/>
                    </a:prstGeom>
                  </pic:spPr>
                </pic:pic>
              </a:graphicData>
            </a:graphic>
          </wp:inline>
        </w:drawing>
      </w:r>
    </w:p>
    <w:p w:rsidR="000B1E2A" w:rsidRDefault="000B1E2A">
      <w:pPr>
        <w:pStyle w:val="NormalWeb"/>
      </w:pPr>
      <w:r>
        <w:t>The median number of cases in each outbreak was six (range 2–331). Thirty-nine percent (326/830) of outbreaks had 6–24 cases, and almost a third (32%, 268/830) had only 3–5 cases (Figure 7). The number of cases associated with outbreaks was consistent across the two peaks in mid-March and July. The largest single jurisdictional outbreak occurred in a residential aged care facility and was associated with 260 cases.</w:t>
      </w:r>
    </w:p>
    <w:p w:rsidR="00315E2F" w:rsidRDefault="00315E2F">
      <w:pPr>
        <w:rPr>
          <w:b/>
        </w:rPr>
      </w:pPr>
      <w:r>
        <w:br w:type="page"/>
      </w:r>
    </w:p>
    <w:p w:rsidR="000B1E2A" w:rsidRDefault="000B1E2A" w:rsidP="008E5C28">
      <w:pPr>
        <w:pStyle w:val="CDIFigures"/>
      </w:pPr>
      <w:r>
        <w:lastRenderedPageBreak/>
        <w:t>Figure 7: Number of outbreaks by size, Australia, 6 December 2020</w:t>
      </w:r>
    </w:p>
    <w:p w:rsidR="000B1E2A" w:rsidRDefault="000B1E2A">
      <w:pPr>
        <w:rPr>
          <w:rFonts w:eastAsia="Times New Roman"/>
        </w:rPr>
      </w:pPr>
      <w:r>
        <w:rPr>
          <w:rFonts w:eastAsia="Times New Roman"/>
          <w:noProof/>
        </w:rPr>
        <w:drawing>
          <wp:inline distT="0" distB="0" distL="0" distR="0">
            <wp:extent cx="6569385" cy="4573706"/>
            <wp:effectExtent l="0" t="0" r="3175" b="0"/>
            <wp:docPr id="7" name="Picture 7"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574190" cy="4577051"/>
                    </a:xfrm>
                    <a:prstGeom prst="rect">
                      <a:avLst/>
                    </a:prstGeom>
                  </pic:spPr>
                </pic:pic>
              </a:graphicData>
            </a:graphic>
          </wp:inline>
        </w:drawing>
      </w:r>
    </w:p>
    <w:p w:rsidR="000B1E2A" w:rsidRDefault="000B1E2A">
      <w:pPr>
        <w:pStyle w:val="NormalWeb"/>
      </w:pPr>
      <w:r>
        <w:t>Residents of aged care facilities are at increased risk of COVID-19 infection due to the environment of communal living facilities and are more vulnerable to serious complications if they do become infected. As at 6 December 2020, there were 4,298 cases of COVID-19 associated with 219 residential aged care facilities, with 3,613 recoveries and 685 deaths. Of these cases, 2,049 occurred in aged care residents, with the remaining 2,249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16,17</w:t>
      </w:r>
      <w:r>
        <w:t xml:space="preserve"> </w:t>
      </w:r>
    </w:p>
    <w:p w:rsidR="00E61B7C" w:rsidRDefault="00E61B7C" w:rsidP="00B16F27">
      <w:pPr>
        <w:pStyle w:val="Heading2"/>
        <w:rPr>
          <w:rFonts w:eastAsia="Times New Roman"/>
        </w:rPr>
      </w:pPr>
      <w:r>
        <w:rPr>
          <w:rFonts w:eastAsia="Times New Roman"/>
        </w:rPr>
        <w:t>Virology</w:t>
      </w:r>
    </w:p>
    <w:p w:rsidR="000B1E2A" w:rsidRPr="00E61B7C" w:rsidRDefault="000B1E2A" w:rsidP="00E61B7C">
      <w:pPr>
        <w:pStyle w:val="Heading3"/>
        <w:rPr>
          <w:rFonts w:eastAsia="Times New Roman"/>
          <w:i/>
        </w:rPr>
      </w:pPr>
      <w:r w:rsidRPr="00E61B7C">
        <w:rPr>
          <w:rFonts w:eastAsia="Times New Roman"/>
          <w:i/>
        </w:rPr>
        <w:t xml:space="preserve">(GISAID) </w:t>
      </w:r>
    </w:p>
    <w:p w:rsidR="000B1E2A" w:rsidRDefault="000B1E2A">
      <w:pPr>
        <w:pStyle w:val="NormalWeb"/>
      </w:pPr>
      <w:r>
        <w:t>At the time of this report, there were 16,282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1,18,19</w:t>
      </w:r>
      <w:r>
        <w:t xml:space="preserve"> In the last fortnight, there has been one new Australian sequence uploaded to GISAID. Recent Australian SARS-CoV-2 sequences from the last month include 12 from New South Wales and 15 from South Australia. In the past month there have been six different sequences, reflecting the recent shift from locally-acquired to overseas-acquired cases in Australia. </w:t>
      </w:r>
    </w:p>
    <w:p w:rsidR="00315E2F" w:rsidRDefault="00315E2F">
      <w:pPr>
        <w:rPr>
          <w:rFonts w:asciiTheme="majorHAnsi" w:eastAsia="Times New Roman" w:hAnsiTheme="majorHAnsi" w:cstheme="majorBidi"/>
          <w:b/>
          <w:bCs/>
          <w:sz w:val="32"/>
          <w:szCs w:val="28"/>
        </w:rPr>
      </w:pPr>
      <w:r>
        <w:rPr>
          <w:rFonts w:eastAsia="Times New Roman"/>
        </w:rPr>
        <w:br w:type="page"/>
      </w:r>
    </w:p>
    <w:p w:rsidR="000B1E2A" w:rsidRDefault="000B1E2A">
      <w:pPr>
        <w:pStyle w:val="Heading1"/>
        <w:rPr>
          <w:rFonts w:eastAsia="Times New Roman"/>
        </w:rPr>
      </w:pPr>
      <w:r>
        <w:rPr>
          <w:rFonts w:eastAsia="Times New Roman"/>
        </w:rPr>
        <w:lastRenderedPageBreak/>
        <w:t xml:space="preserve">Public health response measures </w:t>
      </w:r>
    </w:p>
    <w:p w:rsidR="000B1E2A" w:rsidRDefault="000B1E2A">
      <w:pPr>
        <w:pStyle w:val="NormalWeb"/>
      </w:pPr>
      <w:r>
        <w:t>Since COVID-19 first emerged internationally, Australia has implemented public health measures informed by the disease’s epidemiology (Figure 8). On 8 May, the Australian Government announced a three-step framework for easing COVID-19 restrictions. Building on this framework, on 13 November National Cabinet (except for Western Australia) agreed to a ‘Framework for National Reopening’ which aims to achieve a COVID Normal Australia by Christmas 2020 wherever it is safe to do so.</w:t>
      </w:r>
      <w:r>
        <w:rPr>
          <w:vertAlign w:val="superscript"/>
        </w:rPr>
        <w:t>20</w:t>
      </w:r>
      <w:r>
        <w:t xml:space="preserve"> States and territories have decision making authority in relation to public health measures and have eased restrictions at their own pace, depending on the local public health and epidemiological situation (Table 5).</w:t>
      </w:r>
      <w:r>
        <w:rPr>
          <w:vertAlign w:val="superscript"/>
        </w:rPr>
        <w:t>21</w:t>
      </w:r>
      <w:r>
        <w:t xml:space="preserve"> </w:t>
      </w:r>
    </w:p>
    <w:p w:rsidR="00C07AC7" w:rsidRDefault="00C07AC7">
      <w:pPr>
        <w:rPr>
          <w:b/>
        </w:rPr>
      </w:pPr>
      <w:r>
        <w:br w:type="page"/>
      </w:r>
    </w:p>
    <w:p w:rsidR="000B1E2A" w:rsidRDefault="000B1E2A" w:rsidP="008E5C28">
      <w:pPr>
        <w:pStyle w:val="CDIFigures"/>
      </w:pPr>
      <w:r>
        <w:lastRenderedPageBreak/>
        <w:t>Table 5: State and territory changes to COVID-19 restrictions, Australia, 23 November to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ummarises measures for easing COVID-19 restrictions, applied during the current reporting fortnight, for Australian states and territories.&#10;"/>
      </w:tblPr>
      <w:tblGrid>
        <w:gridCol w:w="2042"/>
        <w:gridCol w:w="8424"/>
      </w:tblGrid>
      <w:tr w:rsidR="008E5C28" w:rsidRPr="008E5C28" w:rsidTr="00111A40">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0B1E2A" w:rsidRPr="008E5C28" w:rsidRDefault="000B1E2A">
            <w:pPr>
              <w:pStyle w:val="NormalWeb"/>
              <w:rPr>
                <w:color w:val="FFFFFF" w:themeColor="background1"/>
              </w:rPr>
            </w:pPr>
            <w:r w:rsidRPr="008E5C28">
              <w:rPr>
                <w:color w:val="FFFFFF" w:themeColor="background1"/>
              </w:rPr>
              <w:t>Jurisdiction</w:t>
            </w:r>
          </w:p>
        </w:tc>
        <w:tc>
          <w:tcPr>
            <w:tcW w:w="0" w:type="auto"/>
            <w:hideMark/>
          </w:tcPr>
          <w:p w:rsidR="000B1E2A" w:rsidRPr="008E5C28" w:rsidRDefault="000B1E2A">
            <w:pPr>
              <w:pStyle w:val="NormalWeb"/>
              <w:rPr>
                <w:color w:val="FFFFFF" w:themeColor="background1"/>
              </w:rPr>
            </w:pPr>
            <w:r w:rsidRPr="008E5C28">
              <w:rPr>
                <w:color w:val="FFFFFF" w:themeColor="background1"/>
                <w:lang w:val="en-US"/>
              </w:rPr>
              <w:t>Summary of changes to COVID-19 restrictions</w:t>
            </w:r>
          </w:p>
        </w:tc>
      </w:tr>
      <w:tr w:rsidR="000B1E2A" w:rsidTr="00111A40">
        <w:tc>
          <w:tcPr>
            <w:tcW w:w="0" w:type="auto"/>
            <w:hideMark/>
          </w:tcPr>
          <w:p w:rsidR="000B1E2A" w:rsidRDefault="000B1E2A">
            <w:pPr>
              <w:pStyle w:val="NormalWeb"/>
            </w:pPr>
            <w:r>
              <w:t>New South Wales</w:t>
            </w:r>
          </w:p>
        </w:tc>
        <w:tc>
          <w:tcPr>
            <w:tcW w:w="0" w:type="auto"/>
            <w:hideMark/>
          </w:tcPr>
          <w:p w:rsidR="000B1E2A" w:rsidRDefault="000B1E2A">
            <w:pPr>
              <w:pStyle w:val="NormalWeb"/>
            </w:pPr>
            <w:r>
              <w:t>No further easing of restrictions during this reporting period.</w:t>
            </w:r>
            <w:r w:rsidRPr="00066126">
              <w:rPr>
                <w:vertAlign w:val="superscript"/>
              </w:rPr>
              <w:t>22</w:t>
            </w:r>
          </w:p>
        </w:tc>
      </w:tr>
      <w:tr w:rsidR="000B1E2A" w:rsidTr="00111A40">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rPr>
                <w:lang w:val="en-US"/>
              </w:rPr>
              <w:t>Victoria</w:t>
            </w:r>
          </w:p>
        </w:tc>
        <w:tc>
          <w:tcPr>
            <w:tcW w:w="0" w:type="auto"/>
            <w:hideMark/>
          </w:tcPr>
          <w:p w:rsidR="000B1E2A" w:rsidRDefault="000B1E2A">
            <w:pPr>
              <w:pStyle w:val="NormalWeb"/>
            </w:pPr>
            <w:r>
              <w:t>From 6 December Victoria moved to ‘COVIDSafe Summer’ restrictions, with the following restrictions eased:23</w:t>
            </w:r>
          </w:p>
          <w:p w:rsidR="000B1E2A" w:rsidRDefault="000B1E2A" w:rsidP="000B1E2A">
            <w:pPr>
              <w:numPr>
                <w:ilvl w:val="0"/>
                <w:numId w:val="7"/>
              </w:numPr>
              <w:spacing w:before="100" w:beforeAutospacing="1" w:after="100" w:afterAutospacing="1"/>
              <w:rPr>
                <w:rFonts w:eastAsia="Times New Roman"/>
              </w:rPr>
            </w:pPr>
            <w:r>
              <w:rPr>
                <w:rFonts w:eastAsia="Times New Roman"/>
              </w:rPr>
              <w:t>Face masks only mandatory in select indoor circumstances (public transport, shopping centres)</w:t>
            </w:r>
          </w:p>
          <w:p w:rsidR="000B1E2A" w:rsidRDefault="000B1E2A" w:rsidP="000B1E2A">
            <w:pPr>
              <w:numPr>
                <w:ilvl w:val="0"/>
                <w:numId w:val="7"/>
              </w:numPr>
              <w:spacing w:before="100" w:beforeAutospacing="1" w:after="100" w:afterAutospacing="1"/>
              <w:rPr>
                <w:rFonts w:eastAsia="Times New Roman"/>
              </w:rPr>
            </w:pPr>
            <w:r>
              <w:rPr>
                <w:rFonts w:eastAsia="Times New Roman"/>
              </w:rPr>
              <w:t>Up to 30 permitted at private gatherings</w:t>
            </w:r>
          </w:p>
          <w:p w:rsidR="000B1E2A" w:rsidRDefault="000B1E2A" w:rsidP="000B1E2A">
            <w:pPr>
              <w:numPr>
                <w:ilvl w:val="0"/>
                <w:numId w:val="7"/>
              </w:numPr>
              <w:spacing w:before="100" w:beforeAutospacing="1" w:after="100" w:afterAutospacing="1"/>
              <w:rPr>
                <w:rFonts w:eastAsia="Times New Roman"/>
              </w:rPr>
            </w:pPr>
            <w:r>
              <w:rPr>
                <w:rFonts w:eastAsia="Times New Roman"/>
              </w:rPr>
              <w:t>Up to 100 permitted at outdoor public gatherings</w:t>
            </w:r>
          </w:p>
          <w:p w:rsidR="000B1E2A" w:rsidRDefault="000B1E2A" w:rsidP="000B1E2A">
            <w:pPr>
              <w:numPr>
                <w:ilvl w:val="0"/>
                <w:numId w:val="7"/>
              </w:numPr>
              <w:spacing w:before="100" w:beforeAutospacing="1" w:after="100" w:afterAutospacing="1"/>
              <w:rPr>
                <w:rFonts w:eastAsia="Times New Roman"/>
              </w:rPr>
            </w:pPr>
            <w:r>
              <w:rPr>
                <w:rFonts w:eastAsia="Times New Roman"/>
              </w:rPr>
              <w:t>Density restrictions for indoor venues reduced to one person per 2m2 (including weddings, funerals and religious gatherings)</w:t>
            </w:r>
          </w:p>
        </w:tc>
      </w:tr>
      <w:tr w:rsidR="000B1E2A" w:rsidTr="00111A40">
        <w:tc>
          <w:tcPr>
            <w:tcW w:w="0" w:type="auto"/>
            <w:hideMark/>
          </w:tcPr>
          <w:p w:rsidR="000B1E2A" w:rsidRDefault="000B1E2A">
            <w:pPr>
              <w:pStyle w:val="NormalWeb"/>
            </w:pPr>
            <w:r>
              <w:rPr>
                <w:lang w:val="en-US"/>
              </w:rPr>
              <w:t>Queensland</w:t>
            </w:r>
          </w:p>
        </w:tc>
        <w:tc>
          <w:tcPr>
            <w:tcW w:w="0" w:type="auto"/>
            <w:hideMark/>
          </w:tcPr>
          <w:p w:rsidR="000B1E2A" w:rsidRDefault="000B1E2A">
            <w:pPr>
              <w:pStyle w:val="NormalWeb"/>
            </w:pPr>
            <w:r>
              <w:t>From 1 December the following restrictions were eased:</w:t>
            </w:r>
            <w:r w:rsidRPr="00066126">
              <w:rPr>
                <w:vertAlign w:val="superscript"/>
              </w:rPr>
              <w:t>24</w:t>
            </w:r>
          </w:p>
          <w:p w:rsidR="000B1E2A" w:rsidRDefault="000B1E2A" w:rsidP="000B1E2A">
            <w:pPr>
              <w:numPr>
                <w:ilvl w:val="0"/>
                <w:numId w:val="8"/>
              </w:numPr>
              <w:spacing w:before="100" w:beforeAutospacing="1" w:after="100" w:afterAutospacing="1"/>
              <w:rPr>
                <w:rFonts w:eastAsia="Times New Roman"/>
              </w:rPr>
            </w:pPr>
            <w:r>
              <w:rPr>
                <w:rFonts w:eastAsia="Times New Roman"/>
              </w:rPr>
              <w:t>Up to 50 permitted at private gatherings and 100 permitted in public gatherings</w:t>
            </w:r>
          </w:p>
          <w:p w:rsidR="000B1E2A" w:rsidRDefault="000B1E2A" w:rsidP="000B1E2A">
            <w:pPr>
              <w:numPr>
                <w:ilvl w:val="0"/>
                <w:numId w:val="8"/>
              </w:numPr>
              <w:spacing w:before="100" w:beforeAutospacing="1" w:after="100" w:afterAutospacing="1"/>
              <w:rPr>
                <w:rFonts w:eastAsia="Times New Roman"/>
              </w:rPr>
            </w:pPr>
            <w:r>
              <w:rPr>
                <w:rFonts w:eastAsia="Times New Roman"/>
              </w:rPr>
              <w:t>Density restrictions for indoor venues reduced to one person per 2m2</w:t>
            </w:r>
          </w:p>
          <w:p w:rsidR="000B1E2A" w:rsidRDefault="000B1E2A" w:rsidP="000B1E2A">
            <w:pPr>
              <w:numPr>
                <w:ilvl w:val="0"/>
                <w:numId w:val="8"/>
              </w:numPr>
              <w:spacing w:before="100" w:beforeAutospacing="1" w:after="100" w:afterAutospacing="1"/>
              <w:rPr>
                <w:rFonts w:eastAsia="Times New Roman"/>
              </w:rPr>
            </w:pPr>
            <w:r>
              <w:rPr>
                <w:rFonts w:eastAsia="Times New Roman"/>
              </w:rPr>
              <w:t>Seated, ticketed venues and open air stadiums permitted 100% capacity</w:t>
            </w:r>
          </w:p>
        </w:tc>
      </w:tr>
      <w:tr w:rsidR="000B1E2A" w:rsidTr="00111A40">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rPr>
                <w:lang w:val="en-US"/>
              </w:rPr>
              <w:t>Western Australia</w:t>
            </w:r>
          </w:p>
        </w:tc>
        <w:tc>
          <w:tcPr>
            <w:tcW w:w="0" w:type="auto"/>
            <w:hideMark/>
          </w:tcPr>
          <w:p w:rsidR="000B1E2A" w:rsidRDefault="000B1E2A">
            <w:pPr>
              <w:pStyle w:val="NormalWeb"/>
            </w:pPr>
            <w:r>
              <w:t>No further easing of restrictions during this reporting period.</w:t>
            </w:r>
            <w:r w:rsidRPr="00066126">
              <w:rPr>
                <w:vertAlign w:val="superscript"/>
              </w:rPr>
              <w:t>25</w:t>
            </w:r>
          </w:p>
        </w:tc>
      </w:tr>
      <w:tr w:rsidR="000B1E2A" w:rsidTr="00111A40">
        <w:tc>
          <w:tcPr>
            <w:tcW w:w="0" w:type="auto"/>
            <w:hideMark/>
          </w:tcPr>
          <w:p w:rsidR="000B1E2A" w:rsidRDefault="000B1E2A">
            <w:pPr>
              <w:pStyle w:val="NormalWeb"/>
            </w:pPr>
            <w:r>
              <w:rPr>
                <w:lang w:val="en-US"/>
              </w:rPr>
              <w:t>South Australia</w:t>
            </w:r>
          </w:p>
        </w:tc>
        <w:tc>
          <w:tcPr>
            <w:tcW w:w="0" w:type="auto"/>
            <w:hideMark/>
          </w:tcPr>
          <w:p w:rsidR="000B1E2A" w:rsidRDefault="000B1E2A">
            <w:pPr>
              <w:pStyle w:val="NormalWeb"/>
            </w:pPr>
            <w:r>
              <w:t>From 1 December businesses required to have customers sign in on SA GOV app.26</w:t>
            </w:r>
          </w:p>
        </w:tc>
      </w:tr>
      <w:tr w:rsidR="000B1E2A" w:rsidTr="00111A40">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rPr>
                <w:lang w:val="en-US"/>
              </w:rPr>
              <w:t>Tasmania</w:t>
            </w:r>
          </w:p>
        </w:tc>
        <w:tc>
          <w:tcPr>
            <w:tcW w:w="0" w:type="auto"/>
            <w:hideMark/>
          </w:tcPr>
          <w:p w:rsidR="000B1E2A" w:rsidRDefault="000B1E2A">
            <w:pPr>
              <w:pStyle w:val="NormalWeb"/>
            </w:pPr>
            <w:r>
              <w:t>From 1 December the following changes to restrictions:</w:t>
            </w:r>
            <w:r w:rsidRPr="00066126">
              <w:rPr>
                <w:vertAlign w:val="superscript"/>
              </w:rPr>
              <w:t>27</w:t>
            </w:r>
          </w:p>
          <w:p w:rsidR="000B1E2A" w:rsidRDefault="000B1E2A" w:rsidP="000B1E2A">
            <w:pPr>
              <w:numPr>
                <w:ilvl w:val="0"/>
                <w:numId w:val="9"/>
              </w:numPr>
              <w:spacing w:before="100" w:beforeAutospacing="1" w:after="100" w:afterAutospacing="1"/>
              <w:rPr>
                <w:rFonts w:eastAsia="Times New Roman"/>
              </w:rPr>
            </w:pPr>
            <w:r>
              <w:rPr>
                <w:rFonts w:eastAsia="Times New Roman"/>
              </w:rPr>
              <w:t>Up to 250 permitted to stand and drink outdoors in licensed premises (within current density restrictions)</w:t>
            </w:r>
          </w:p>
          <w:p w:rsidR="000B1E2A" w:rsidRDefault="000B1E2A" w:rsidP="000B1E2A">
            <w:pPr>
              <w:numPr>
                <w:ilvl w:val="0"/>
                <w:numId w:val="9"/>
              </w:numPr>
              <w:spacing w:before="100" w:beforeAutospacing="1" w:after="100" w:afterAutospacing="1"/>
              <w:rPr>
                <w:rFonts w:eastAsia="Times New Roman"/>
              </w:rPr>
            </w:pPr>
            <w:r>
              <w:rPr>
                <w:rFonts w:eastAsia="Times New Roman"/>
              </w:rPr>
              <w:t>An Events Framework released to support larger events</w:t>
            </w:r>
          </w:p>
          <w:p w:rsidR="000B1E2A" w:rsidRDefault="000B1E2A" w:rsidP="000B1E2A">
            <w:pPr>
              <w:numPr>
                <w:ilvl w:val="0"/>
                <w:numId w:val="9"/>
              </w:numPr>
              <w:spacing w:before="100" w:beforeAutospacing="1" w:after="100" w:afterAutospacing="1"/>
              <w:rPr>
                <w:rFonts w:eastAsia="Times New Roman"/>
              </w:rPr>
            </w:pPr>
            <w:r>
              <w:rPr>
                <w:rFonts w:eastAsia="Times New Roman"/>
              </w:rPr>
              <w:t>‘Check in Tas App’ available to assist business collecting contact information</w:t>
            </w:r>
          </w:p>
        </w:tc>
      </w:tr>
      <w:tr w:rsidR="000B1E2A" w:rsidTr="00111A40">
        <w:tc>
          <w:tcPr>
            <w:tcW w:w="0" w:type="auto"/>
            <w:hideMark/>
          </w:tcPr>
          <w:p w:rsidR="000B1E2A" w:rsidRDefault="000B1E2A">
            <w:pPr>
              <w:pStyle w:val="NormalWeb"/>
            </w:pPr>
            <w:r>
              <w:rPr>
                <w:lang w:val="en-US"/>
              </w:rPr>
              <w:t>Australian Capital Territory</w:t>
            </w:r>
          </w:p>
        </w:tc>
        <w:tc>
          <w:tcPr>
            <w:tcW w:w="0" w:type="auto"/>
            <w:hideMark/>
          </w:tcPr>
          <w:p w:rsidR="000B1E2A" w:rsidRDefault="000B1E2A">
            <w:pPr>
              <w:pStyle w:val="NormalWeb"/>
            </w:pPr>
            <w:r>
              <w:t>From 2 December the following restrictions were eased:</w:t>
            </w:r>
            <w:r w:rsidRPr="00066126">
              <w:rPr>
                <w:vertAlign w:val="superscript"/>
              </w:rPr>
              <w:t>28</w:t>
            </w:r>
          </w:p>
          <w:p w:rsidR="000B1E2A" w:rsidRDefault="000B1E2A" w:rsidP="000B1E2A">
            <w:pPr>
              <w:numPr>
                <w:ilvl w:val="0"/>
                <w:numId w:val="10"/>
              </w:numPr>
              <w:spacing w:before="100" w:beforeAutospacing="1" w:after="100" w:afterAutospacing="1"/>
              <w:rPr>
                <w:rFonts w:eastAsia="Times New Roman"/>
              </w:rPr>
            </w:pPr>
            <w:r>
              <w:rPr>
                <w:rFonts w:eastAsia="Times New Roman"/>
              </w:rPr>
              <w:t>Up to 500 permitted at all gatherings</w:t>
            </w:r>
          </w:p>
          <w:p w:rsidR="000B1E2A" w:rsidRDefault="000B1E2A" w:rsidP="000B1E2A">
            <w:pPr>
              <w:numPr>
                <w:ilvl w:val="0"/>
                <w:numId w:val="10"/>
              </w:numPr>
              <w:spacing w:before="100" w:beforeAutospacing="1" w:after="100" w:afterAutospacing="1"/>
              <w:rPr>
                <w:rFonts w:eastAsia="Times New Roman"/>
              </w:rPr>
            </w:pPr>
            <w:r>
              <w:rPr>
                <w:rFonts w:eastAsia="Times New Roman"/>
              </w:rPr>
              <w:t>Density restrictions for indoor venues reduced to one person per 2m2 if the Check In CBR app is used</w:t>
            </w:r>
          </w:p>
          <w:p w:rsidR="000B1E2A" w:rsidRDefault="000B1E2A" w:rsidP="000B1E2A">
            <w:pPr>
              <w:numPr>
                <w:ilvl w:val="0"/>
                <w:numId w:val="10"/>
              </w:numPr>
              <w:spacing w:before="100" w:beforeAutospacing="1" w:after="100" w:afterAutospacing="1"/>
              <w:rPr>
                <w:rFonts w:eastAsia="Times New Roman"/>
              </w:rPr>
            </w:pPr>
            <w:r>
              <w:rPr>
                <w:rFonts w:eastAsia="Times New Roman"/>
              </w:rPr>
              <w:t>Cinemas permitted up to 65% capacity (up to 500 people) if the Check in CBR app is used</w:t>
            </w:r>
          </w:p>
          <w:p w:rsidR="000B1E2A" w:rsidRDefault="000B1E2A" w:rsidP="000B1E2A">
            <w:pPr>
              <w:numPr>
                <w:ilvl w:val="0"/>
                <w:numId w:val="10"/>
              </w:numPr>
              <w:spacing w:before="100" w:beforeAutospacing="1" w:after="100" w:afterAutospacing="1"/>
              <w:rPr>
                <w:rFonts w:eastAsia="Times New Roman"/>
              </w:rPr>
            </w:pPr>
            <w:r>
              <w:rPr>
                <w:rFonts w:eastAsia="Times New Roman"/>
              </w:rPr>
              <w:t>Large indoor venues permitted up to 65% capacity (up to 1500 people) with Check in CBR app</w:t>
            </w:r>
          </w:p>
        </w:tc>
      </w:tr>
      <w:tr w:rsidR="000B1E2A" w:rsidTr="00111A40">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rPr>
                <w:lang w:val="en-US"/>
              </w:rPr>
              <w:t>Northern Territory</w:t>
            </w:r>
          </w:p>
        </w:tc>
        <w:tc>
          <w:tcPr>
            <w:tcW w:w="0" w:type="auto"/>
            <w:hideMark/>
          </w:tcPr>
          <w:p w:rsidR="000B1E2A" w:rsidRDefault="000B1E2A">
            <w:pPr>
              <w:pStyle w:val="NormalWeb"/>
            </w:pPr>
            <w:r>
              <w:t>From 30 November the following changes to restrictions:</w:t>
            </w:r>
            <w:r w:rsidRPr="00066126">
              <w:rPr>
                <w:vertAlign w:val="superscript"/>
              </w:rPr>
              <w:t>29</w:t>
            </w:r>
          </w:p>
          <w:p w:rsidR="000B1E2A" w:rsidRDefault="000B1E2A" w:rsidP="000B1E2A">
            <w:pPr>
              <w:numPr>
                <w:ilvl w:val="0"/>
                <w:numId w:val="11"/>
              </w:numPr>
              <w:spacing w:before="100" w:beforeAutospacing="1" w:after="100" w:afterAutospacing="1"/>
              <w:rPr>
                <w:rFonts w:eastAsia="Times New Roman"/>
              </w:rPr>
            </w:pPr>
            <w:r>
              <w:rPr>
                <w:rFonts w:eastAsia="Times New Roman"/>
              </w:rPr>
              <w:t>The Territory Check In app available for all members of the public and businesses, with some businesses required to use it</w:t>
            </w:r>
          </w:p>
          <w:p w:rsidR="000B1E2A" w:rsidRDefault="000B1E2A" w:rsidP="000B1E2A">
            <w:pPr>
              <w:numPr>
                <w:ilvl w:val="0"/>
                <w:numId w:val="11"/>
              </w:numPr>
              <w:spacing w:before="100" w:beforeAutospacing="1" w:after="100" w:afterAutospacing="1"/>
              <w:rPr>
                <w:rFonts w:eastAsia="Times New Roman"/>
              </w:rPr>
            </w:pPr>
            <w:r>
              <w:rPr>
                <w:rFonts w:eastAsia="Times New Roman"/>
              </w:rPr>
              <w:t>COVID Safety Plans required to be reviewed every six months</w:t>
            </w:r>
          </w:p>
        </w:tc>
      </w:tr>
    </w:tbl>
    <w:p w:rsidR="00004659" w:rsidRDefault="00004659" w:rsidP="00004659">
      <w:pPr>
        <w:pStyle w:val="CDIFigures"/>
        <w:sectPr w:rsidR="00004659" w:rsidSect="00A30C37">
          <w:headerReference w:type="default" r:id="rId16"/>
          <w:footerReference w:type="default" r:id="rId17"/>
          <w:footerReference w:type="first" r:id="rId18"/>
          <w:pgSz w:w="11906" w:h="16838"/>
          <w:pgMar w:top="720" w:right="720" w:bottom="1134" w:left="720" w:header="709" w:footer="284" w:gutter="0"/>
          <w:cols w:space="708"/>
          <w:titlePg/>
          <w:docGrid w:linePitch="360"/>
        </w:sectPr>
      </w:pPr>
    </w:p>
    <w:p w:rsidR="000B1E2A" w:rsidRDefault="000B1E2A" w:rsidP="00004659">
      <w:pPr>
        <w:pStyle w:val="CDIFigures"/>
      </w:pPr>
      <w:r>
        <w:lastRenderedPageBreak/>
        <w:t>Figure 8: COVID-19 notifications in Australia by week of diagnosis and jurisdiction to 6 December with timing of key public health measures</w:t>
      </w:r>
    </w:p>
    <w:p w:rsidR="000B1E2A" w:rsidRDefault="000B1E2A">
      <w:pPr>
        <w:rPr>
          <w:rFonts w:eastAsia="Times New Roman"/>
        </w:rPr>
      </w:pPr>
      <w:r>
        <w:rPr>
          <w:rFonts w:eastAsia="Times New Roman"/>
          <w:noProof/>
        </w:rPr>
        <w:drawing>
          <wp:inline distT="0" distB="0" distL="0" distR="0">
            <wp:extent cx="9483659" cy="5147640"/>
            <wp:effectExtent l="0" t="0" r="3810" b="0"/>
            <wp:docPr id="8" name="Picture 8" descr="A bar chart showing COVID-19 notifications by week of diagnosis and jurisdiction, for cases reported to NNDSS. Notifications for the cases shown have diagnosis weeks ending from 19 January 2020 to 6 December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COVID-19 notifications by week of diagnosis and jurisdiction, for cases reported to NNDSS. Notifications for the cases shown have diagnosis weeks ending from 19 January 2020 to 6 December2020.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495265" cy="5153939"/>
                    </a:xfrm>
                    <a:prstGeom prst="rect">
                      <a:avLst/>
                    </a:prstGeom>
                  </pic:spPr>
                </pic:pic>
              </a:graphicData>
            </a:graphic>
          </wp:inline>
        </w:drawing>
      </w:r>
    </w:p>
    <w:p w:rsidR="00004659" w:rsidRDefault="00004659">
      <w:pPr>
        <w:pStyle w:val="Heading1"/>
        <w:rPr>
          <w:rFonts w:eastAsia="Times New Roman"/>
        </w:rPr>
        <w:sectPr w:rsidR="00004659" w:rsidSect="00004659">
          <w:pgSz w:w="16838" w:h="11906" w:orient="landscape"/>
          <w:pgMar w:top="720" w:right="720" w:bottom="720" w:left="1134" w:header="709" w:footer="284" w:gutter="0"/>
          <w:cols w:space="708"/>
          <w:titlePg/>
          <w:docGrid w:linePitch="360"/>
        </w:sectPr>
      </w:pPr>
    </w:p>
    <w:p w:rsidR="000B1E2A" w:rsidRDefault="000B1E2A">
      <w:pPr>
        <w:pStyle w:val="Heading1"/>
        <w:rPr>
          <w:rFonts w:eastAsia="Times New Roman"/>
        </w:rPr>
      </w:pPr>
      <w:r>
        <w:rPr>
          <w:rFonts w:eastAsia="Times New Roman"/>
        </w:rPr>
        <w:lastRenderedPageBreak/>
        <w:t xml:space="preserve">Testing </w:t>
      </w:r>
    </w:p>
    <w:p w:rsidR="000B1E2A" w:rsidRPr="00BA0914" w:rsidRDefault="000B1E2A">
      <w:pPr>
        <w:pStyle w:val="Heading2"/>
        <w:rPr>
          <w:rFonts w:eastAsia="Times New Roman"/>
          <w:i/>
        </w:rPr>
      </w:pPr>
      <w:r w:rsidRPr="00BA0914">
        <w:rPr>
          <w:rFonts w:eastAsia="Times New Roman"/>
          <w:i/>
        </w:rPr>
        <w:t xml:space="preserve">(State and territory reporting) </w:t>
      </w:r>
    </w:p>
    <w:p w:rsidR="000B1E2A" w:rsidRDefault="000B1E2A">
      <w:pPr>
        <w:pStyle w:val="NormalWeb"/>
      </w:pPr>
      <w:r>
        <w:t xml:space="preserve">As at 6 December 2020, a cumulative total of 10,181,797 tests were conducted in Australia. The cumulative nationwide proportion of positive tests remained low at 0.27% (Table 6). With the exception of Victoria, the cumulative testing positivity in individual jurisdictions was &lt; 0.2%. </w:t>
      </w:r>
    </w:p>
    <w:p w:rsidR="000B1E2A" w:rsidRDefault="000B1E2A" w:rsidP="008E5C28">
      <w:pPr>
        <w:pStyle w:val="CDIFigures"/>
      </w:pPr>
      <w:r>
        <w:t>Table 6: Diagnostic tests performed, by jurisdiction,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472,607 tests performed, with a positivity rate of 0.03%. Of all tests performed in Australia since 13 January 2020 (10,181,797 tests), the cumulative testing rate is 40,153 tests per 100,000 population and the positivity rate is 0.27%."/>
      </w:tblPr>
      <w:tblGrid>
        <w:gridCol w:w="1156"/>
        <w:gridCol w:w="840"/>
        <w:gridCol w:w="967"/>
        <w:gridCol w:w="1203"/>
        <w:gridCol w:w="840"/>
        <w:gridCol w:w="967"/>
        <w:gridCol w:w="1203"/>
        <w:gridCol w:w="1120"/>
        <w:gridCol w:w="967"/>
        <w:gridCol w:w="1203"/>
      </w:tblGrid>
      <w:tr w:rsidR="008E5C28" w:rsidRPr="008E5C28" w:rsidTr="003C017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0B1E2A" w:rsidRPr="008E5C28" w:rsidRDefault="000B1E2A">
            <w:pPr>
              <w:pStyle w:val="NormalWeb"/>
              <w:rPr>
                <w:color w:val="FFFFFF" w:themeColor="background1"/>
              </w:rPr>
            </w:pPr>
            <w:r w:rsidRPr="008E5C28">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lang w:val="en-US"/>
              </w:rPr>
              <w:t>Tests performed 9–22 November</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Tests performed 23 November – 6 December</w:t>
            </w:r>
          </w:p>
        </w:tc>
        <w:tc>
          <w:tcPr>
            <w:tcW w:w="0" w:type="auto"/>
            <w:gridSpan w:val="3"/>
            <w:tcBorders>
              <w:left w:val="single" w:sz="2" w:space="0" w:color="FFFFFF" w:themeColor="background1"/>
              <w:bottom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Cumulative tests performed to 6 December</w:t>
            </w:r>
          </w:p>
        </w:tc>
      </w:tr>
      <w:tr w:rsidR="008E5C28" w:rsidRPr="008E5C28" w:rsidTr="003C017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0B1E2A" w:rsidRPr="008E5C28" w:rsidRDefault="000B1E2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Per 100,000 population</w:t>
            </w:r>
            <w:r w:rsidRPr="008E5C28">
              <w:rPr>
                <w:color w:val="FFFFFF" w:themeColor="background1"/>
                <w:vertAlign w:val="superscript"/>
              </w:rPr>
              <w:t>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Per 100,000 population</w:t>
            </w:r>
            <w:r w:rsidRPr="00AC3882">
              <w:rPr>
                <w:color w:val="FFFFFF" w:themeColor="background1"/>
                <w:vertAlign w:val="superscript"/>
              </w:rPr>
              <w:t>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Positivity (%)</w:t>
            </w:r>
          </w:p>
        </w:tc>
        <w:tc>
          <w:tcPr>
            <w:tcW w:w="0" w:type="auto"/>
            <w:tcBorders>
              <w:top w:val="single" w:sz="2" w:space="0" w:color="FFFFFF" w:themeColor="background1"/>
              <w:left w:val="single" w:sz="2" w:space="0" w:color="FFFFFF" w:themeColor="background1"/>
            </w:tcBorders>
            <w:hideMark/>
          </w:tcPr>
          <w:p w:rsidR="000B1E2A" w:rsidRPr="008E5C28" w:rsidRDefault="000B1E2A" w:rsidP="008E5C28">
            <w:pPr>
              <w:pStyle w:val="NormalWeb"/>
              <w:jc w:val="center"/>
              <w:rPr>
                <w:color w:val="FFFFFF" w:themeColor="background1"/>
              </w:rPr>
            </w:pPr>
            <w:r w:rsidRPr="008E5C28">
              <w:rPr>
                <w:color w:val="FFFFFF" w:themeColor="background1"/>
              </w:rPr>
              <w:t>Per 100,000 population</w:t>
            </w:r>
            <w:r w:rsidRPr="00AC3882">
              <w:rPr>
                <w:color w:val="FFFFFF" w:themeColor="background1"/>
                <w:vertAlign w:val="superscript"/>
              </w:rPr>
              <w:t>a</w:t>
            </w:r>
          </w:p>
        </w:tc>
      </w:tr>
      <w:tr w:rsidR="008E5C28" w:rsidTr="008E5C28">
        <w:tc>
          <w:tcPr>
            <w:tcW w:w="0" w:type="auto"/>
            <w:hideMark/>
          </w:tcPr>
          <w:p w:rsidR="000B1E2A" w:rsidRDefault="000B1E2A">
            <w:pPr>
              <w:pStyle w:val="NormalWeb"/>
            </w:pPr>
            <w:r>
              <w:t>NSW</w:t>
            </w:r>
          </w:p>
        </w:tc>
        <w:tc>
          <w:tcPr>
            <w:tcW w:w="0" w:type="auto"/>
            <w:hideMark/>
          </w:tcPr>
          <w:p w:rsidR="000B1E2A" w:rsidRDefault="000B1E2A" w:rsidP="008E5C28">
            <w:pPr>
              <w:pStyle w:val="NormalWeb"/>
              <w:jc w:val="center"/>
            </w:pPr>
            <w:r>
              <w:t>216,291</w:t>
            </w:r>
          </w:p>
        </w:tc>
        <w:tc>
          <w:tcPr>
            <w:tcW w:w="0" w:type="auto"/>
            <w:hideMark/>
          </w:tcPr>
          <w:p w:rsidR="000B1E2A" w:rsidRDefault="000B1E2A" w:rsidP="008E5C28">
            <w:pPr>
              <w:pStyle w:val="NormalWeb"/>
              <w:jc w:val="center"/>
            </w:pPr>
            <w:r>
              <w:t>0.04</w:t>
            </w:r>
          </w:p>
        </w:tc>
        <w:tc>
          <w:tcPr>
            <w:tcW w:w="0" w:type="auto"/>
            <w:hideMark/>
          </w:tcPr>
          <w:p w:rsidR="000B1E2A" w:rsidRDefault="000B1E2A" w:rsidP="008E5C28">
            <w:pPr>
              <w:pStyle w:val="NormalWeb"/>
              <w:jc w:val="center"/>
            </w:pPr>
            <w:r>
              <w:t>2,675.06</w:t>
            </w:r>
          </w:p>
        </w:tc>
        <w:tc>
          <w:tcPr>
            <w:tcW w:w="0" w:type="auto"/>
            <w:hideMark/>
          </w:tcPr>
          <w:p w:rsidR="000B1E2A" w:rsidRDefault="000B1E2A" w:rsidP="008E5C28">
            <w:pPr>
              <w:pStyle w:val="NormalWeb"/>
              <w:jc w:val="center"/>
            </w:pPr>
            <w:r>
              <w:t>155,300</w:t>
            </w:r>
          </w:p>
        </w:tc>
        <w:tc>
          <w:tcPr>
            <w:tcW w:w="0" w:type="auto"/>
            <w:hideMark/>
          </w:tcPr>
          <w:p w:rsidR="000B1E2A" w:rsidRDefault="000B1E2A" w:rsidP="008E5C28">
            <w:pPr>
              <w:pStyle w:val="NormalWeb"/>
              <w:jc w:val="center"/>
            </w:pPr>
            <w:r>
              <w:t>0.05</w:t>
            </w:r>
          </w:p>
        </w:tc>
        <w:tc>
          <w:tcPr>
            <w:tcW w:w="0" w:type="auto"/>
            <w:hideMark/>
          </w:tcPr>
          <w:p w:rsidR="000B1E2A" w:rsidRDefault="000B1E2A" w:rsidP="008E5C28">
            <w:pPr>
              <w:pStyle w:val="NormalWeb"/>
              <w:jc w:val="center"/>
            </w:pPr>
            <w:r>
              <w:t>1,920.73</w:t>
            </w:r>
          </w:p>
        </w:tc>
        <w:tc>
          <w:tcPr>
            <w:tcW w:w="0" w:type="auto"/>
            <w:hideMark/>
          </w:tcPr>
          <w:p w:rsidR="000B1E2A" w:rsidRDefault="000B1E2A" w:rsidP="008E5C28">
            <w:pPr>
              <w:pStyle w:val="NormalWeb"/>
              <w:jc w:val="center"/>
            </w:pPr>
            <w:r>
              <w:t>3,538,908</w:t>
            </w:r>
          </w:p>
        </w:tc>
        <w:tc>
          <w:tcPr>
            <w:tcW w:w="0" w:type="auto"/>
            <w:hideMark/>
          </w:tcPr>
          <w:p w:rsidR="000B1E2A" w:rsidRDefault="000B1E2A" w:rsidP="008E5C28">
            <w:pPr>
              <w:pStyle w:val="NormalWeb"/>
              <w:jc w:val="center"/>
            </w:pPr>
            <w:r>
              <w:t>0.13</w:t>
            </w:r>
          </w:p>
        </w:tc>
        <w:tc>
          <w:tcPr>
            <w:tcW w:w="0" w:type="auto"/>
            <w:hideMark/>
          </w:tcPr>
          <w:p w:rsidR="000B1E2A" w:rsidRDefault="000B1E2A" w:rsidP="008E5C28">
            <w:pPr>
              <w:pStyle w:val="NormalWeb"/>
              <w:jc w:val="center"/>
            </w:pPr>
            <w:r>
              <w:t>43,768.72</w:t>
            </w:r>
          </w:p>
        </w:tc>
      </w:tr>
      <w:tr w:rsidR="008E5C28" w:rsidTr="008E5C28">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Vic</w:t>
            </w:r>
          </w:p>
        </w:tc>
        <w:tc>
          <w:tcPr>
            <w:tcW w:w="0" w:type="auto"/>
            <w:hideMark/>
          </w:tcPr>
          <w:p w:rsidR="000B1E2A" w:rsidRDefault="000B1E2A" w:rsidP="008E5C28">
            <w:pPr>
              <w:pStyle w:val="NormalWeb"/>
              <w:jc w:val="center"/>
            </w:pPr>
            <w:r>
              <w:t>198,310</w:t>
            </w:r>
          </w:p>
        </w:tc>
        <w:tc>
          <w:tcPr>
            <w:tcW w:w="0" w:type="auto"/>
            <w:hideMark/>
          </w:tcPr>
          <w:p w:rsidR="000B1E2A" w:rsidRDefault="000B1E2A" w:rsidP="008E5C28">
            <w:pPr>
              <w:pStyle w:val="NormalWeb"/>
              <w:jc w:val="center"/>
            </w:pPr>
            <w:r>
              <w:t>0.00</w:t>
            </w:r>
          </w:p>
        </w:tc>
        <w:tc>
          <w:tcPr>
            <w:tcW w:w="0" w:type="auto"/>
            <w:hideMark/>
          </w:tcPr>
          <w:p w:rsidR="000B1E2A" w:rsidRDefault="000B1E2A" w:rsidP="008E5C28">
            <w:pPr>
              <w:pStyle w:val="NormalWeb"/>
              <w:jc w:val="center"/>
            </w:pPr>
            <w:r>
              <w:t>3,007.48</w:t>
            </w:r>
          </w:p>
        </w:tc>
        <w:tc>
          <w:tcPr>
            <w:tcW w:w="0" w:type="auto"/>
            <w:hideMark/>
          </w:tcPr>
          <w:p w:rsidR="000B1E2A" w:rsidRDefault="000B1E2A" w:rsidP="008E5C28">
            <w:pPr>
              <w:pStyle w:val="NormalWeb"/>
              <w:jc w:val="center"/>
            </w:pPr>
            <w:r>
              <w:t>130,634</w:t>
            </w:r>
          </w:p>
        </w:tc>
        <w:tc>
          <w:tcPr>
            <w:tcW w:w="0" w:type="auto"/>
            <w:hideMark/>
          </w:tcPr>
          <w:p w:rsidR="000B1E2A" w:rsidRDefault="000B1E2A" w:rsidP="008E5C28">
            <w:pPr>
              <w:pStyle w:val="NormalWeb"/>
              <w:jc w:val="center"/>
            </w:pPr>
            <w:r>
              <w:t>0.00</w:t>
            </w:r>
          </w:p>
        </w:tc>
        <w:tc>
          <w:tcPr>
            <w:tcW w:w="0" w:type="auto"/>
            <w:hideMark/>
          </w:tcPr>
          <w:p w:rsidR="000B1E2A" w:rsidRDefault="000B1E2A" w:rsidP="008E5C28">
            <w:pPr>
              <w:pStyle w:val="NormalWeb"/>
              <w:jc w:val="center"/>
            </w:pPr>
            <w:r>
              <w:t>1,981.14</w:t>
            </w:r>
          </w:p>
        </w:tc>
        <w:tc>
          <w:tcPr>
            <w:tcW w:w="0" w:type="auto"/>
            <w:hideMark/>
          </w:tcPr>
          <w:p w:rsidR="000B1E2A" w:rsidRDefault="000B1E2A" w:rsidP="008E5C28">
            <w:pPr>
              <w:pStyle w:val="NormalWeb"/>
              <w:jc w:val="center"/>
            </w:pPr>
            <w:r>
              <w:t>3,628,246</w:t>
            </w:r>
          </w:p>
        </w:tc>
        <w:tc>
          <w:tcPr>
            <w:tcW w:w="0" w:type="auto"/>
            <w:hideMark/>
          </w:tcPr>
          <w:p w:rsidR="000B1E2A" w:rsidRDefault="000B1E2A" w:rsidP="008E5C28">
            <w:pPr>
              <w:pStyle w:val="NormalWeb"/>
              <w:jc w:val="center"/>
            </w:pPr>
            <w:r>
              <w:t>0.56</w:t>
            </w:r>
          </w:p>
        </w:tc>
        <w:tc>
          <w:tcPr>
            <w:tcW w:w="0" w:type="auto"/>
            <w:hideMark/>
          </w:tcPr>
          <w:p w:rsidR="000B1E2A" w:rsidRDefault="000B1E2A" w:rsidP="008E5C28">
            <w:pPr>
              <w:pStyle w:val="NormalWeb"/>
              <w:jc w:val="center"/>
            </w:pPr>
            <w:r>
              <w:t>55,024.41</w:t>
            </w:r>
          </w:p>
        </w:tc>
      </w:tr>
      <w:tr w:rsidR="008E5C28" w:rsidTr="008E5C28">
        <w:tc>
          <w:tcPr>
            <w:tcW w:w="0" w:type="auto"/>
            <w:hideMark/>
          </w:tcPr>
          <w:p w:rsidR="000B1E2A" w:rsidRDefault="000B1E2A">
            <w:pPr>
              <w:pStyle w:val="NormalWeb"/>
            </w:pPr>
            <w:r>
              <w:t>Qld</w:t>
            </w:r>
          </w:p>
        </w:tc>
        <w:tc>
          <w:tcPr>
            <w:tcW w:w="0" w:type="auto"/>
            <w:hideMark/>
          </w:tcPr>
          <w:p w:rsidR="000B1E2A" w:rsidRDefault="000B1E2A" w:rsidP="008E5C28">
            <w:pPr>
              <w:pStyle w:val="NormalWeb"/>
              <w:jc w:val="center"/>
            </w:pPr>
            <w:r>
              <w:t>58,622</w:t>
            </w:r>
          </w:p>
        </w:tc>
        <w:tc>
          <w:tcPr>
            <w:tcW w:w="0" w:type="auto"/>
            <w:hideMark/>
          </w:tcPr>
          <w:p w:rsidR="000B1E2A" w:rsidRDefault="000B1E2A" w:rsidP="008E5C28">
            <w:pPr>
              <w:pStyle w:val="NormalWeb"/>
              <w:jc w:val="center"/>
            </w:pPr>
            <w:r>
              <w:t>0.03</w:t>
            </w:r>
          </w:p>
        </w:tc>
        <w:tc>
          <w:tcPr>
            <w:tcW w:w="0" w:type="auto"/>
            <w:hideMark/>
          </w:tcPr>
          <w:p w:rsidR="000B1E2A" w:rsidRDefault="000B1E2A" w:rsidP="008E5C28">
            <w:pPr>
              <w:pStyle w:val="NormalWeb"/>
              <w:jc w:val="center"/>
            </w:pPr>
            <w:r>
              <w:t>1,151.14</w:t>
            </w:r>
          </w:p>
        </w:tc>
        <w:tc>
          <w:tcPr>
            <w:tcW w:w="0" w:type="auto"/>
            <w:hideMark/>
          </w:tcPr>
          <w:p w:rsidR="000B1E2A" w:rsidRDefault="000B1E2A" w:rsidP="008E5C28">
            <w:pPr>
              <w:pStyle w:val="NormalWeb"/>
              <w:jc w:val="center"/>
            </w:pPr>
            <w:r>
              <w:t>49,576</w:t>
            </w:r>
          </w:p>
        </w:tc>
        <w:tc>
          <w:tcPr>
            <w:tcW w:w="0" w:type="auto"/>
            <w:hideMark/>
          </w:tcPr>
          <w:p w:rsidR="000B1E2A" w:rsidRDefault="000B1E2A" w:rsidP="008E5C28">
            <w:pPr>
              <w:pStyle w:val="NormalWeb"/>
              <w:jc w:val="center"/>
            </w:pPr>
            <w:r>
              <w:t>0.04</w:t>
            </w:r>
          </w:p>
        </w:tc>
        <w:tc>
          <w:tcPr>
            <w:tcW w:w="0" w:type="auto"/>
            <w:hideMark/>
          </w:tcPr>
          <w:p w:rsidR="000B1E2A" w:rsidRDefault="000B1E2A" w:rsidP="008E5C28">
            <w:pPr>
              <w:pStyle w:val="NormalWeb"/>
              <w:jc w:val="center"/>
            </w:pPr>
            <w:r>
              <w:t>973.51</w:t>
            </w:r>
          </w:p>
        </w:tc>
        <w:tc>
          <w:tcPr>
            <w:tcW w:w="0" w:type="auto"/>
            <w:hideMark/>
          </w:tcPr>
          <w:p w:rsidR="000B1E2A" w:rsidRDefault="000B1E2A" w:rsidP="008E5C28">
            <w:pPr>
              <w:pStyle w:val="NormalWeb"/>
              <w:jc w:val="center"/>
            </w:pPr>
            <w:r>
              <w:t>1,373,765</w:t>
            </w:r>
          </w:p>
        </w:tc>
        <w:tc>
          <w:tcPr>
            <w:tcW w:w="0" w:type="auto"/>
            <w:hideMark/>
          </w:tcPr>
          <w:p w:rsidR="000B1E2A" w:rsidRDefault="000B1E2A" w:rsidP="008E5C28">
            <w:pPr>
              <w:pStyle w:val="NormalWeb"/>
              <w:jc w:val="center"/>
            </w:pPr>
            <w:r>
              <w:t>0.09</w:t>
            </w:r>
          </w:p>
        </w:tc>
        <w:tc>
          <w:tcPr>
            <w:tcW w:w="0" w:type="auto"/>
            <w:hideMark/>
          </w:tcPr>
          <w:p w:rsidR="000B1E2A" w:rsidRDefault="000B1E2A" w:rsidP="008E5C28">
            <w:pPr>
              <w:pStyle w:val="NormalWeb"/>
              <w:jc w:val="center"/>
            </w:pPr>
            <w:r>
              <w:t>26,976.10</w:t>
            </w:r>
          </w:p>
        </w:tc>
      </w:tr>
      <w:tr w:rsidR="008E5C28" w:rsidTr="008E5C28">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WA</w:t>
            </w:r>
          </w:p>
        </w:tc>
        <w:tc>
          <w:tcPr>
            <w:tcW w:w="0" w:type="auto"/>
            <w:hideMark/>
          </w:tcPr>
          <w:p w:rsidR="000B1E2A" w:rsidRDefault="000B1E2A" w:rsidP="008E5C28">
            <w:pPr>
              <w:pStyle w:val="NormalWeb"/>
              <w:jc w:val="center"/>
            </w:pPr>
            <w:r>
              <w:t>28,352</w:t>
            </w:r>
          </w:p>
        </w:tc>
        <w:tc>
          <w:tcPr>
            <w:tcW w:w="0" w:type="auto"/>
            <w:hideMark/>
          </w:tcPr>
          <w:p w:rsidR="000B1E2A" w:rsidRDefault="000B1E2A" w:rsidP="008E5C28">
            <w:pPr>
              <w:pStyle w:val="NormalWeb"/>
              <w:jc w:val="center"/>
            </w:pPr>
            <w:r>
              <w:t>0.08</w:t>
            </w:r>
          </w:p>
        </w:tc>
        <w:tc>
          <w:tcPr>
            <w:tcW w:w="0" w:type="auto"/>
            <w:hideMark/>
          </w:tcPr>
          <w:p w:rsidR="000B1E2A" w:rsidRDefault="000B1E2A" w:rsidP="008E5C28">
            <w:pPr>
              <w:pStyle w:val="NormalWeb"/>
              <w:jc w:val="center"/>
            </w:pPr>
            <w:r>
              <w:t>1,081.38</w:t>
            </w:r>
          </w:p>
        </w:tc>
        <w:tc>
          <w:tcPr>
            <w:tcW w:w="0" w:type="auto"/>
            <w:hideMark/>
          </w:tcPr>
          <w:p w:rsidR="000B1E2A" w:rsidRDefault="000B1E2A" w:rsidP="008E5C28">
            <w:pPr>
              <w:pStyle w:val="NormalWeb"/>
              <w:jc w:val="center"/>
            </w:pPr>
            <w:r>
              <w:t>33,977</w:t>
            </w:r>
          </w:p>
        </w:tc>
        <w:tc>
          <w:tcPr>
            <w:tcW w:w="0" w:type="auto"/>
            <w:hideMark/>
          </w:tcPr>
          <w:p w:rsidR="000B1E2A" w:rsidRDefault="000B1E2A" w:rsidP="008E5C28">
            <w:pPr>
              <w:pStyle w:val="NormalWeb"/>
              <w:jc w:val="center"/>
            </w:pPr>
            <w:r>
              <w:t>0.09</w:t>
            </w:r>
          </w:p>
        </w:tc>
        <w:tc>
          <w:tcPr>
            <w:tcW w:w="0" w:type="auto"/>
            <w:hideMark/>
          </w:tcPr>
          <w:p w:rsidR="000B1E2A" w:rsidRDefault="000B1E2A" w:rsidP="008E5C28">
            <w:pPr>
              <w:pStyle w:val="NormalWeb"/>
              <w:jc w:val="center"/>
            </w:pPr>
            <w:r>
              <w:t>1,295.92</w:t>
            </w:r>
          </w:p>
        </w:tc>
        <w:tc>
          <w:tcPr>
            <w:tcW w:w="0" w:type="auto"/>
            <w:hideMark/>
          </w:tcPr>
          <w:p w:rsidR="000B1E2A" w:rsidRDefault="000B1E2A" w:rsidP="008E5C28">
            <w:pPr>
              <w:pStyle w:val="NormalWeb"/>
              <w:jc w:val="center"/>
            </w:pPr>
            <w:r>
              <w:t>563,757</w:t>
            </w:r>
          </w:p>
        </w:tc>
        <w:tc>
          <w:tcPr>
            <w:tcW w:w="0" w:type="auto"/>
            <w:hideMark/>
          </w:tcPr>
          <w:p w:rsidR="000B1E2A" w:rsidRDefault="000B1E2A" w:rsidP="008E5C28">
            <w:pPr>
              <w:pStyle w:val="NormalWeb"/>
              <w:jc w:val="center"/>
            </w:pPr>
            <w:r>
              <w:t>0.15</w:t>
            </w:r>
          </w:p>
        </w:tc>
        <w:tc>
          <w:tcPr>
            <w:tcW w:w="0" w:type="auto"/>
            <w:hideMark/>
          </w:tcPr>
          <w:p w:rsidR="000B1E2A" w:rsidRDefault="000B1E2A" w:rsidP="008E5C28">
            <w:pPr>
              <w:pStyle w:val="NormalWeb"/>
              <w:jc w:val="center"/>
            </w:pPr>
            <w:r>
              <w:t>21,502.37</w:t>
            </w:r>
          </w:p>
        </w:tc>
      </w:tr>
      <w:tr w:rsidR="008E5C28" w:rsidTr="008E5C28">
        <w:tc>
          <w:tcPr>
            <w:tcW w:w="0" w:type="auto"/>
            <w:hideMark/>
          </w:tcPr>
          <w:p w:rsidR="000B1E2A" w:rsidRDefault="000B1E2A">
            <w:pPr>
              <w:pStyle w:val="NormalWeb"/>
            </w:pPr>
            <w:r>
              <w:t>SA</w:t>
            </w:r>
          </w:p>
        </w:tc>
        <w:tc>
          <w:tcPr>
            <w:tcW w:w="0" w:type="auto"/>
            <w:hideMark/>
          </w:tcPr>
          <w:p w:rsidR="000B1E2A" w:rsidRDefault="000B1E2A" w:rsidP="008E5C28">
            <w:pPr>
              <w:pStyle w:val="NormalWeb"/>
              <w:jc w:val="center"/>
            </w:pPr>
            <w:r>
              <w:t>90,157</w:t>
            </w:r>
          </w:p>
        </w:tc>
        <w:tc>
          <w:tcPr>
            <w:tcW w:w="0" w:type="auto"/>
            <w:hideMark/>
          </w:tcPr>
          <w:p w:rsidR="000B1E2A" w:rsidRDefault="000B1E2A" w:rsidP="008E5C28">
            <w:pPr>
              <w:pStyle w:val="NormalWeb"/>
              <w:jc w:val="center"/>
            </w:pPr>
            <w:r>
              <w:t>0.04</w:t>
            </w:r>
          </w:p>
        </w:tc>
        <w:tc>
          <w:tcPr>
            <w:tcW w:w="0" w:type="auto"/>
            <w:hideMark/>
          </w:tcPr>
          <w:p w:rsidR="000B1E2A" w:rsidRDefault="000B1E2A" w:rsidP="008E5C28">
            <w:pPr>
              <w:pStyle w:val="NormalWeb"/>
              <w:jc w:val="center"/>
            </w:pPr>
            <w:r>
              <w:t>5,144.99</w:t>
            </w:r>
          </w:p>
        </w:tc>
        <w:tc>
          <w:tcPr>
            <w:tcW w:w="0" w:type="auto"/>
            <w:hideMark/>
          </w:tcPr>
          <w:p w:rsidR="000B1E2A" w:rsidRDefault="000B1E2A" w:rsidP="008E5C28">
            <w:pPr>
              <w:pStyle w:val="NormalWeb"/>
              <w:jc w:val="center"/>
            </w:pPr>
            <w:r>
              <w:t>87,058</w:t>
            </w:r>
          </w:p>
        </w:tc>
        <w:tc>
          <w:tcPr>
            <w:tcW w:w="0" w:type="auto"/>
            <w:hideMark/>
          </w:tcPr>
          <w:p w:rsidR="000B1E2A" w:rsidRDefault="000B1E2A" w:rsidP="008E5C28">
            <w:pPr>
              <w:pStyle w:val="NormalWeb"/>
              <w:jc w:val="center"/>
            </w:pPr>
            <w:r>
              <w:t>0.01</w:t>
            </w:r>
          </w:p>
        </w:tc>
        <w:tc>
          <w:tcPr>
            <w:tcW w:w="0" w:type="auto"/>
            <w:hideMark/>
          </w:tcPr>
          <w:p w:rsidR="000B1E2A" w:rsidRDefault="000B1E2A" w:rsidP="008E5C28">
            <w:pPr>
              <w:pStyle w:val="NormalWeb"/>
              <w:jc w:val="center"/>
            </w:pPr>
            <w:r>
              <w:t>4,968.14</w:t>
            </w:r>
          </w:p>
        </w:tc>
        <w:tc>
          <w:tcPr>
            <w:tcW w:w="0" w:type="auto"/>
            <w:hideMark/>
          </w:tcPr>
          <w:p w:rsidR="000B1E2A" w:rsidRDefault="000B1E2A" w:rsidP="008E5C28">
            <w:pPr>
              <w:pStyle w:val="NormalWeb"/>
              <w:jc w:val="center"/>
            </w:pPr>
            <w:r>
              <w:t>749,833</w:t>
            </w:r>
          </w:p>
        </w:tc>
        <w:tc>
          <w:tcPr>
            <w:tcW w:w="0" w:type="auto"/>
            <w:hideMark/>
          </w:tcPr>
          <w:p w:rsidR="000B1E2A" w:rsidRDefault="000B1E2A" w:rsidP="008E5C28">
            <w:pPr>
              <w:pStyle w:val="NormalWeb"/>
              <w:jc w:val="center"/>
            </w:pPr>
            <w:r>
              <w:t>0.08</w:t>
            </w:r>
          </w:p>
        </w:tc>
        <w:tc>
          <w:tcPr>
            <w:tcW w:w="0" w:type="auto"/>
            <w:hideMark/>
          </w:tcPr>
          <w:p w:rsidR="000B1E2A" w:rsidRDefault="000B1E2A" w:rsidP="008E5C28">
            <w:pPr>
              <w:pStyle w:val="NormalWeb"/>
              <w:jc w:val="center"/>
            </w:pPr>
            <w:r>
              <w:t>42,790.73</w:t>
            </w:r>
          </w:p>
        </w:tc>
      </w:tr>
      <w:tr w:rsidR="008E5C28" w:rsidTr="008E5C28">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Tas</w:t>
            </w:r>
          </w:p>
        </w:tc>
        <w:tc>
          <w:tcPr>
            <w:tcW w:w="0" w:type="auto"/>
            <w:hideMark/>
          </w:tcPr>
          <w:p w:rsidR="000B1E2A" w:rsidRDefault="000B1E2A" w:rsidP="008E5C28">
            <w:pPr>
              <w:pStyle w:val="NormalWeb"/>
              <w:jc w:val="center"/>
            </w:pPr>
            <w:r>
              <w:t>6,044</w:t>
            </w:r>
          </w:p>
        </w:tc>
        <w:tc>
          <w:tcPr>
            <w:tcW w:w="0" w:type="auto"/>
            <w:hideMark/>
          </w:tcPr>
          <w:p w:rsidR="000B1E2A" w:rsidRDefault="000B1E2A" w:rsidP="008E5C28">
            <w:pPr>
              <w:pStyle w:val="NormalWeb"/>
              <w:jc w:val="center"/>
            </w:pPr>
            <w:r>
              <w:t>0.00</w:t>
            </w:r>
          </w:p>
        </w:tc>
        <w:tc>
          <w:tcPr>
            <w:tcW w:w="0" w:type="auto"/>
            <w:hideMark/>
          </w:tcPr>
          <w:p w:rsidR="000B1E2A" w:rsidRDefault="000B1E2A" w:rsidP="008E5C28">
            <w:pPr>
              <w:pStyle w:val="NormalWeb"/>
              <w:jc w:val="center"/>
            </w:pPr>
            <w:r>
              <w:t>1,130.57</w:t>
            </w:r>
          </w:p>
        </w:tc>
        <w:tc>
          <w:tcPr>
            <w:tcW w:w="0" w:type="auto"/>
            <w:hideMark/>
          </w:tcPr>
          <w:p w:rsidR="000B1E2A" w:rsidRDefault="000B1E2A" w:rsidP="008E5C28">
            <w:pPr>
              <w:pStyle w:val="NormalWeb"/>
              <w:jc w:val="center"/>
            </w:pPr>
            <w:r>
              <w:t>5,060</w:t>
            </w:r>
          </w:p>
        </w:tc>
        <w:tc>
          <w:tcPr>
            <w:tcW w:w="0" w:type="auto"/>
            <w:hideMark/>
          </w:tcPr>
          <w:p w:rsidR="000B1E2A" w:rsidRDefault="000B1E2A" w:rsidP="008E5C28">
            <w:pPr>
              <w:pStyle w:val="NormalWeb"/>
              <w:jc w:val="center"/>
            </w:pPr>
            <w:r>
              <w:t>0.00</w:t>
            </w:r>
          </w:p>
        </w:tc>
        <w:tc>
          <w:tcPr>
            <w:tcW w:w="0" w:type="auto"/>
            <w:hideMark/>
          </w:tcPr>
          <w:p w:rsidR="000B1E2A" w:rsidRDefault="000B1E2A" w:rsidP="008E5C28">
            <w:pPr>
              <w:pStyle w:val="NormalWeb"/>
              <w:jc w:val="center"/>
            </w:pPr>
            <w:r>
              <w:t>946.50</w:t>
            </w:r>
          </w:p>
        </w:tc>
        <w:tc>
          <w:tcPr>
            <w:tcW w:w="0" w:type="auto"/>
            <w:hideMark/>
          </w:tcPr>
          <w:p w:rsidR="000B1E2A" w:rsidRDefault="000B1E2A" w:rsidP="008E5C28">
            <w:pPr>
              <w:pStyle w:val="NormalWeb"/>
              <w:jc w:val="center"/>
            </w:pPr>
            <w:r>
              <w:t>131,396</w:t>
            </w:r>
          </w:p>
        </w:tc>
        <w:tc>
          <w:tcPr>
            <w:tcW w:w="0" w:type="auto"/>
            <w:hideMark/>
          </w:tcPr>
          <w:p w:rsidR="000B1E2A" w:rsidRDefault="000B1E2A" w:rsidP="008E5C28">
            <w:pPr>
              <w:pStyle w:val="NormalWeb"/>
              <w:jc w:val="center"/>
            </w:pPr>
            <w:r>
              <w:t>0.18</w:t>
            </w:r>
          </w:p>
        </w:tc>
        <w:tc>
          <w:tcPr>
            <w:tcW w:w="0" w:type="auto"/>
            <w:hideMark/>
          </w:tcPr>
          <w:p w:rsidR="000B1E2A" w:rsidRDefault="000B1E2A" w:rsidP="008E5C28">
            <w:pPr>
              <w:pStyle w:val="NormalWeb"/>
              <w:jc w:val="center"/>
            </w:pPr>
            <w:r>
              <w:t>24,578.42</w:t>
            </w:r>
          </w:p>
        </w:tc>
      </w:tr>
      <w:tr w:rsidR="008E5C28" w:rsidTr="008E5C28">
        <w:tc>
          <w:tcPr>
            <w:tcW w:w="0" w:type="auto"/>
            <w:hideMark/>
          </w:tcPr>
          <w:p w:rsidR="000B1E2A" w:rsidRDefault="000B1E2A">
            <w:pPr>
              <w:pStyle w:val="NormalWeb"/>
            </w:pPr>
            <w:r>
              <w:t>NT</w:t>
            </w:r>
          </w:p>
        </w:tc>
        <w:tc>
          <w:tcPr>
            <w:tcW w:w="0" w:type="auto"/>
            <w:hideMark/>
          </w:tcPr>
          <w:p w:rsidR="000B1E2A" w:rsidRDefault="000B1E2A" w:rsidP="008E5C28">
            <w:pPr>
              <w:pStyle w:val="NormalWeb"/>
              <w:jc w:val="center"/>
            </w:pPr>
            <w:r>
              <w:t>6,714</w:t>
            </w:r>
          </w:p>
        </w:tc>
        <w:tc>
          <w:tcPr>
            <w:tcW w:w="0" w:type="auto"/>
            <w:hideMark/>
          </w:tcPr>
          <w:p w:rsidR="000B1E2A" w:rsidRDefault="000B1E2A" w:rsidP="008E5C28">
            <w:pPr>
              <w:pStyle w:val="NormalWeb"/>
              <w:jc w:val="center"/>
            </w:pPr>
            <w:r>
              <w:t>0.10</w:t>
            </w:r>
          </w:p>
        </w:tc>
        <w:tc>
          <w:tcPr>
            <w:tcW w:w="0" w:type="auto"/>
            <w:hideMark/>
          </w:tcPr>
          <w:p w:rsidR="000B1E2A" w:rsidRDefault="000B1E2A" w:rsidP="008E5C28">
            <w:pPr>
              <w:pStyle w:val="NormalWeb"/>
              <w:jc w:val="center"/>
            </w:pPr>
            <w:r>
              <w:t>2,728.13</w:t>
            </w:r>
          </w:p>
        </w:tc>
        <w:tc>
          <w:tcPr>
            <w:tcW w:w="0" w:type="auto"/>
            <w:hideMark/>
          </w:tcPr>
          <w:p w:rsidR="000B1E2A" w:rsidRDefault="000B1E2A" w:rsidP="008E5C28">
            <w:pPr>
              <w:pStyle w:val="NormalWeb"/>
              <w:jc w:val="center"/>
            </w:pPr>
            <w:r>
              <w:t>5,358</w:t>
            </w:r>
          </w:p>
        </w:tc>
        <w:tc>
          <w:tcPr>
            <w:tcW w:w="0" w:type="auto"/>
            <w:hideMark/>
          </w:tcPr>
          <w:p w:rsidR="000B1E2A" w:rsidRDefault="000B1E2A" w:rsidP="008E5C28">
            <w:pPr>
              <w:pStyle w:val="NormalWeb"/>
              <w:jc w:val="center"/>
            </w:pPr>
            <w:r>
              <w:t>0.24</w:t>
            </w:r>
          </w:p>
        </w:tc>
        <w:tc>
          <w:tcPr>
            <w:tcW w:w="0" w:type="auto"/>
            <w:hideMark/>
          </w:tcPr>
          <w:p w:rsidR="000B1E2A" w:rsidRDefault="000B1E2A" w:rsidP="008E5C28">
            <w:pPr>
              <w:pStyle w:val="NormalWeb"/>
              <w:jc w:val="center"/>
            </w:pPr>
            <w:r>
              <w:t>2,177.14</w:t>
            </w:r>
          </w:p>
        </w:tc>
        <w:tc>
          <w:tcPr>
            <w:tcW w:w="0" w:type="auto"/>
            <w:hideMark/>
          </w:tcPr>
          <w:p w:rsidR="000B1E2A" w:rsidRDefault="000B1E2A" w:rsidP="008E5C28">
            <w:pPr>
              <w:pStyle w:val="NormalWeb"/>
              <w:jc w:val="center"/>
            </w:pPr>
            <w:r>
              <w:t>73,321</w:t>
            </w:r>
          </w:p>
        </w:tc>
        <w:tc>
          <w:tcPr>
            <w:tcW w:w="0" w:type="auto"/>
            <w:hideMark/>
          </w:tcPr>
          <w:p w:rsidR="000B1E2A" w:rsidRDefault="000B1E2A" w:rsidP="008E5C28">
            <w:pPr>
              <w:pStyle w:val="NormalWeb"/>
              <w:jc w:val="center"/>
            </w:pPr>
            <w:r>
              <w:t>0.08</w:t>
            </w:r>
          </w:p>
        </w:tc>
        <w:tc>
          <w:tcPr>
            <w:tcW w:w="0" w:type="auto"/>
            <w:hideMark/>
          </w:tcPr>
          <w:p w:rsidR="000B1E2A" w:rsidRDefault="000B1E2A" w:rsidP="008E5C28">
            <w:pPr>
              <w:pStyle w:val="NormalWeb"/>
              <w:jc w:val="center"/>
            </w:pPr>
            <w:r>
              <w:t>29,792.81</w:t>
            </w:r>
          </w:p>
        </w:tc>
      </w:tr>
      <w:tr w:rsidR="008E5C28" w:rsidTr="008E5C28">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Default="000B1E2A">
            <w:pPr>
              <w:pStyle w:val="NormalWeb"/>
            </w:pPr>
            <w:r>
              <w:t>ACT</w:t>
            </w:r>
          </w:p>
        </w:tc>
        <w:tc>
          <w:tcPr>
            <w:tcW w:w="0" w:type="auto"/>
            <w:hideMark/>
          </w:tcPr>
          <w:p w:rsidR="000B1E2A" w:rsidRDefault="000B1E2A" w:rsidP="008E5C28">
            <w:pPr>
              <w:pStyle w:val="NormalWeb"/>
              <w:jc w:val="center"/>
            </w:pPr>
            <w:r>
              <w:t>6,886</w:t>
            </w:r>
          </w:p>
        </w:tc>
        <w:tc>
          <w:tcPr>
            <w:tcW w:w="0" w:type="auto"/>
            <w:hideMark/>
          </w:tcPr>
          <w:p w:rsidR="000B1E2A" w:rsidRDefault="000B1E2A" w:rsidP="008E5C28">
            <w:pPr>
              <w:pStyle w:val="NormalWeb"/>
              <w:jc w:val="center"/>
            </w:pPr>
            <w:r>
              <w:t>0.01</w:t>
            </w:r>
          </w:p>
        </w:tc>
        <w:tc>
          <w:tcPr>
            <w:tcW w:w="0" w:type="auto"/>
            <w:hideMark/>
          </w:tcPr>
          <w:p w:rsidR="000B1E2A" w:rsidRDefault="000B1E2A" w:rsidP="008E5C28">
            <w:pPr>
              <w:pStyle w:val="NormalWeb"/>
              <w:jc w:val="center"/>
            </w:pPr>
            <w:r>
              <w:t>1,615.87</w:t>
            </w:r>
          </w:p>
        </w:tc>
        <w:tc>
          <w:tcPr>
            <w:tcW w:w="0" w:type="auto"/>
            <w:hideMark/>
          </w:tcPr>
          <w:p w:rsidR="000B1E2A" w:rsidRDefault="000B1E2A" w:rsidP="008E5C28">
            <w:pPr>
              <w:pStyle w:val="NormalWeb"/>
              <w:jc w:val="center"/>
            </w:pPr>
            <w:r>
              <w:t>5,644</w:t>
            </w:r>
          </w:p>
        </w:tc>
        <w:tc>
          <w:tcPr>
            <w:tcW w:w="0" w:type="auto"/>
            <w:hideMark/>
          </w:tcPr>
          <w:p w:rsidR="000B1E2A" w:rsidRDefault="000B1E2A" w:rsidP="008E5C28">
            <w:pPr>
              <w:pStyle w:val="NormalWeb"/>
              <w:jc w:val="center"/>
            </w:pPr>
            <w:r>
              <w:t>0.04</w:t>
            </w:r>
          </w:p>
        </w:tc>
        <w:tc>
          <w:tcPr>
            <w:tcW w:w="0" w:type="auto"/>
            <w:hideMark/>
          </w:tcPr>
          <w:p w:rsidR="000B1E2A" w:rsidRDefault="000B1E2A" w:rsidP="008E5C28">
            <w:pPr>
              <w:pStyle w:val="NormalWeb"/>
              <w:jc w:val="center"/>
            </w:pPr>
            <w:r>
              <w:t>1,324.42</w:t>
            </w:r>
          </w:p>
        </w:tc>
        <w:tc>
          <w:tcPr>
            <w:tcW w:w="0" w:type="auto"/>
            <w:hideMark/>
          </w:tcPr>
          <w:p w:rsidR="000B1E2A" w:rsidRDefault="000B1E2A" w:rsidP="008E5C28">
            <w:pPr>
              <w:pStyle w:val="NormalWeb"/>
              <w:jc w:val="center"/>
            </w:pPr>
            <w:r>
              <w:t>122,571</w:t>
            </w:r>
          </w:p>
        </w:tc>
        <w:tc>
          <w:tcPr>
            <w:tcW w:w="0" w:type="auto"/>
            <w:hideMark/>
          </w:tcPr>
          <w:p w:rsidR="000B1E2A" w:rsidRDefault="000B1E2A" w:rsidP="008E5C28">
            <w:pPr>
              <w:pStyle w:val="NormalWeb"/>
              <w:jc w:val="center"/>
            </w:pPr>
            <w:r>
              <w:t>0.10</w:t>
            </w:r>
          </w:p>
        </w:tc>
        <w:tc>
          <w:tcPr>
            <w:tcW w:w="0" w:type="auto"/>
            <w:hideMark/>
          </w:tcPr>
          <w:p w:rsidR="000B1E2A" w:rsidRDefault="000B1E2A" w:rsidP="008E5C28">
            <w:pPr>
              <w:pStyle w:val="NormalWeb"/>
              <w:jc w:val="center"/>
            </w:pPr>
            <w:r>
              <w:t>28,762.48</w:t>
            </w:r>
          </w:p>
        </w:tc>
      </w:tr>
      <w:tr w:rsidR="008E5C28" w:rsidRPr="008E5C28" w:rsidTr="008E5C28">
        <w:tc>
          <w:tcPr>
            <w:tcW w:w="0" w:type="auto"/>
            <w:shd w:val="clear" w:color="auto" w:fill="FDE9D9" w:themeFill="accent6" w:themeFillTint="33"/>
            <w:hideMark/>
          </w:tcPr>
          <w:p w:rsidR="000B1E2A" w:rsidRPr="008E5C28" w:rsidRDefault="000B1E2A">
            <w:pPr>
              <w:pStyle w:val="NormalWeb"/>
              <w:rPr>
                <w:b/>
              </w:rPr>
            </w:pPr>
            <w:r w:rsidRPr="008E5C28">
              <w:rPr>
                <w:b/>
              </w:rPr>
              <w:t>Australia</w:t>
            </w:r>
          </w:p>
        </w:tc>
        <w:tc>
          <w:tcPr>
            <w:tcW w:w="0" w:type="auto"/>
            <w:shd w:val="clear" w:color="auto" w:fill="FDE9D9" w:themeFill="accent6" w:themeFillTint="33"/>
            <w:hideMark/>
          </w:tcPr>
          <w:p w:rsidR="000B1E2A" w:rsidRPr="008E5C28" w:rsidRDefault="000B1E2A" w:rsidP="008E5C28">
            <w:pPr>
              <w:pStyle w:val="NormalWeb"/>
              <w:jc w:val="center"/>
              <w:rPr>
                <w:b/>
              </w:rPr>
            </w:pPr>
            <w:r w:rsidRPr="008E5C28">
              <w:rPr>
                <w:b/>
              </w:rPr>
              <w:t>611,376</w:t>
            </w:r>
          </w:p>
        </w:tc>
        <w:tc>
          <w:tcPr>
            <w:tcW w:w="0" w:type="auto"/>
            <w:shd w:val="clear" w:color="auto" w:fill="FDE9D9" w:themeFill="accent6" w:themeFillTint="33"/>
            <w:hideMark/>
          </w:tcPr>
          <w:p w:rsidR="000B1E2A" w:rsidRPr="008E5C28" w:rsidRDefault="000B1E2A" w:rsidP="008E5C28">
            <w:pPr>
              <w:pStyle w:val="NormalWeb"/>
              <w:jc w:val="center"/>
              <w:rPr>
                <w:b/>
              </w:rPr>
            </w:pPr>
            <w:r w:rsidRPr="008E5C28">
              <w:rPr>
                <w:b/>
              </w:rPr>
              <w:t>0.03</w:t>
            </w:r>
          </w:p>
        </w:tc>
        <w:tc>
          <w:tcPr>
            <w:tcW w:w="0" w:type="auto"/>
            <w:shd w:val="clear" w:color="auto" w:fill="FDE9D9" w:themeFill="accent6" w:themeFillTint="33"/>
            <w:hideMark/>
          </w:tcPr>
          <w:p w:rsidR="000B1E2A" w:rsidRPr="008E5C28" w:rsidRDefault="000B1E2A" w:rsidP="008E5C28">
            <w:pPr>
              <w:pStyle w:val="NormalWeb"/>
              <w:jc w:val="center"/>
              <w:rPr>
                <w:b/>
              </w:rPr>
            </w:pPr>
            <w:r w:rsidRPr="008E5C28">
              <w:rPr>
                <w:b/>
              </w:rPr>
              <w:t>2,411.02</w:t>
            </w:r>
          </w:p>
        </w:tc>
        <w:tc>
          <w:tcPr>
            <w:tcW w:w="0" w:type="auto"/>
            <w:shd w:val="clear" w:color="auto" w:fill="FDE9D9" w:themeFill="accent6" w:themeFillTint="33"/>
            <w:hideMark/>
          </w:tcPr>
          <w:p w:rsidR="000B1E2A" w:rsidRPr="008E5C28" w:rsidRDefault="000B1E2A" w:rsidP="008E5C28">
            <w:pPr>
              <w:pStyle w:val="NormalWeb"/>
              <w:jc w:val="center"/>
              <w:rPr>
                <w:b/>
              </w:rPr>
            </w:pPr>
            <w:r w:rsidRPr="008E5C28">
              <w:rPr>
                <w:b/>
              </w:rPr>
              <w:t>472,607</w:t>
            </w:r>
          </w:p>
        </w:tc>
        <w:tc>
          <w:tcPr>
            <w:tcW w:w="0" w:type="auto"/>
            <w:shd w:val="clear" w:color="auto" w:fill="FDE9D9" w:themeFill="accent6" w:themeFillTint="33"/>
            <w:hideMark/>
          </w:tcPr>
          <w:p w:rsidR="000B1E2A" w:rsidRPr="008E5C28" w:rsidRDefault="000B1E2A" w:rsidP="008E5C28">
            <w:pPr>
              <w:pStyle w:val="NormalWeb"/>
              <w:jc w:val="center"/>
              <w:rPr>
                <w:b/>
              </w:rPr>
            </w:pPr>
            <w:r w:rsidRPr="008E5C28">
              <w:rPr>
                <w:b/>
              </w:rPr>
              <w:t>0.03</w:t>
            </w:r>
          </w:p>
        </w:tc>
        <w:tc>
          <w:tcPr>
            <w:tcW w:w="0" w:type="auto"/>
            <w:shd w:val="clear" w:color="auto" w:fill="FDE9D9" w:themeFill="accent6" w:themeFillTint="33"/>
            <w:hideMark/>
          </w:tcPr>
          <w:p w:rsidR="000B1E2A" w:rsidRPr="008E5C28" w:rsidRDefault="000B1E2A" w:rsidP="008E5C28">
            <w:pPr>
              <w:pStyle w:val="NormalWeb"/>
              <w:jc w:val="center"/>
              <w:rPr>
                <w:b/>
              </w:rPr>
            </w:pPr>
            <w:r w:rsidRPr="008E5C28">
              <w:rPr>
                <w:b/>
              </w:rPr>
              <w:t>1,863.77</w:t>
            </w:r>
          </w:p>
        </w:tc>
        <w:tc>
          <w:tcPr>
            <w:tcW w:w="0" w:type="auto"/>
            <w:shd w:val="clear" w:color="auto" w:fill="FDE9D9" w:themeFill="accent6" w:themeFillTint="33"/>
            <w:hideMark/>
          </w:tcPr>
          <w:p w:rsidR="000B1E2A" w:rsidRPr="008E5C28" w:rsidRDefault="000B1E2A" w:rsidP="008E5C28">
            <w:pPr>
              <w:pStyle w:val="NormalWeb"/>
              <w:jc w:val="center"/>
              <w:rPr>
                <w:b/>
              </w:rPr>
            </w:pPr>
            <w:r w:rsidRPr="008E5C28">
              <w:rPr>
                <w:b/>
              </w:rPr>
              <w:t>10,181,797</w:t>
            </w:r>
          </w:p>
        </w:tc>
        <w:tc>
          <w:tcPr>
            <w:tcW w:w="0" w:type="auto"/>
            <w:shd w:val="clear" w:color="auto" w:fill="FDE9D9" w:themeFill="accent6" w:themeFillTint="33"/>
            <w:hideMark/>
          </w:tcPr>
          <w:p w:rsidR="000B1E2A" w:rsidRPr="008E5C28" w:rsidRDefault="000B1E2A" w:rsidP="008E5C28">
            <w:pPr>
              <w:pStyle w:val="NormalWeb"/>
              <w:jc w:val="center"/>
              <w:rPr>
                <w:b/>
              </w:rPr>
            </w:pPr>
            <w:r w:rsidRPr="008E5C28">
              <w:rPr>
                <w:b/>
              </w:rPr>
              <w:t>0.27</w:t>
            </w:r>
          </w:p>
        </w:tc>
        <w:tc>
          <w:tcPr>
            <w:tcW w:w="0" w:type="auto"/>
            <w:shd w:val="clear" w:color="auto" w:fill="FDE9D9" w:themeFill="accent6" w:themeFillTint="33"/>
            <w:hideMark/>
          </w:tcPr>
          <w:p w:rsidR="000B1E2A" w:rsidRPr="008E5C28" w:rsidRDefault="000B1E2A" w:rsidP="008E5C28">
            <w:pPr>
              <w:pStyle w:val="NormalWeb"/>
              <w:jc w:val="center"/>
              <w:rPr>
                <w:b/>
              </w:rPr>
            </w:pPr>
            <w:r w:rsidRPr="008E5C28">
              <w:rPr>
                <w:b/>
                <w:lang w:val="en-US"/>
              </w:rPr>
              <w:t>40,152.92</w:t>
            </w:r>
          </w:p>
        </w:tc>
      </w:tr>
    </w:tbl>
    <w:p w:rsidR="000B1E2A" w:rsidRPr="00F738B4" w:rsidRDefault="000B1E2A" w:rsidP="00F738B4">
      <w:pPr>
        <w:pStyle w:val="CDIfootnotes"/>
      </w:pPr>
      <w:r w:rsidRPr="00F738B4">
        <w:t>a</w:t>
      </w:r>
      <w:r w:rsidRPr="00F738B4">
        <w:tab/>
        <w:t>Population data based on Australian Bureau of Statistics (ABS) Estimated Resident Population (ERP) as at 30 December 2019.</w:t>
      </w:r>
    </w:p>
    <w:p w:rsidR="000B1E2A" w:rsidRDefault="000B1E2A" w:rsidP="00004A5D">
      <w:r>
        <w:t xml:space="preserve">During this reporting period, 472,607 tests were conducted nationally, with a positivity rate of 0.03%. This represented a 29% decrease in fortnightly tests conducted compared to the last reporting period. Testing rates decreased to 9.3 tests per 1,000 population per week during this reporting period, significantly lower than the peak of 19.4 tests per 1,000 population per week in early August. Jurisdictional testing rates are driven by both current case numbers and numbers of people experiencing symptoms. All states except the Northern Territory reported a positivity rate of &lt; 0.10% in this reporting period. The Northern Territory reported a positivity rate of 0.24%, which is an increase from the previous reporting period (0.10%), and was associated with an increased number of overseas-acquired cases linked with repatriation flights. Victoria and Tasmania reported a positivity rate of 0.00% in the reporting period. The low national positivity rate, along with high rates of testing, indicates a low prevalence of COVID-19 nationally. </w:t>
      </w:r>
    </w:p>
    <w:p w:rsidR="000B1E2A" w:rsidRDefault="000B1E2A" w:rsidP="00004A5D">
      <w:r>
        <w:t>For the fortnight ending 4 December 2020, testing rates declined significantly among all age groups (Figure 9). Testing rates among children and young adults aged 0–19 years and adults aged 60 years and over have the lowest testing rates for the reporting period.</w:t>
      </w:r>
    </w:p>
    <w:p w:rsidR="00004A5D" w:rsidRDefault="00004A5D">
      <w:pPr>
        <w:rPr>
          <w:b/>
        </w:rPr>
      </w:pPr>
      <w:r>
        <w:br w:type="page"/>
      </w:r>
    </w:p>
    <w:p w:rsidR="000B1E2A" w:rsidRDefault="000B1E2A" w:rsidP="001A31CE">
      <w:pPr>
        <w:pStyle w:val="CDIFigures"/>
      </w:pPr>
      <w:r>
        <w:lastRenderedPageBreak/>
        <w:t>Figure 9: SARS-CoV-2 polymerase chain reaction (PCR) testing rates per 1,000 population per week by age group, Australia, 1 May – 4 December 2020</w:t>
      </w:r>
      <w:r w:rsidRPr="001A31CE">
        <w:rPr>
          <w:vertAlign w:val="superscript"/>
        </w:rPr>
        <w:t>a,b</w:t>
      </w:r>
    </w:p>
    <w:p w:rsidR="000B1E2A" w:rsidRDefault="000B1E2A">
      <w:pPr>
        <w:pStyle w:val="NormalWeb"/>
      </w:pPr>
      <w:r>
        <w:rPr>
          <w:noProof/>
        </w:rPr>
        <w:drawing>
          <wp:inline distT="0" distB="0" distL="0" distR="0">
            <wp:extent cx="6629400" cy="4730561"/>
            <wp:effectExtent l="0" t="0" r="0" b="0"/>
            <wp:docPr id="9" name="Picture 9" descr="A line graph showing the reported SARS-CoV-2 PCR testing rate per 1,000 population each week by age group. Weekly testing rates for all age groups have risen overall from 1 May to 6 Decem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9 tests each week per 1,000 population; among those aged 0–19 years and those aged 60+ years, testing rates have decreased to approximately 6 tests per 1,000 population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ne graph showing the reported SARS-CoV-2 PCR testing rate per 1,000 population each week by age group. Weekly testing rates for all age groups have risen overall from 1 May to 6 December, though rates of testing have dropped through September and Octo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9 tests each week per 1,000 population; among those aged 0–19 years and those aged 60+ years, testing rates have decreased to approximately 6 tests per 1,000 population per week."/>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36088" cy="4735333"/>
                    </a:xfrm>
                    <a:prstGeom prst="rect">
                      <a:avLst/>
                    </a:prstGeom>
                  </pic:spPr>
                </pic:pic>
              </a:graphicData>
            </a:graphic>
          </wp:inline>
        </w:drawing>
      </w:r>
    </w:p>
    <w:p w:rsidR="000B1E2A" w:rsidRDefault="000B1E2A" w:rsidP="001A31CE">
      <w:pPr>
        <w:pStyle w:val="CDIfootnotes"/>
      </w:pPr>
      <w:r>
        <w:t>a</w:t>
      </w:r>
      <w:r>
        <w:tab/>
        <w:t>Data provided by jurisdictions to the NIR weekly.</w:t>
      </w:r>
    </w:p>
    <w:p w:rsidR="000B1E2A" w:rsidRDefault="000B1E2A" w:rsidP="001A31CE">
      <w:pPr>
        <w:pStyle w:val="CDIfootnotes"/>
      </w:pPr>
      <w:r>
        <w:t>b</w:t>
      </w:r>
      <w:r>
        <w:tab/>
        <w:t>The jurisdictions reporting each week (i.e. the denominator population) may vary.</w:t>
      </w:r>
    </w:p>
    <w:p w:rsidR="000B1E2A" w:rsidRDefault="000B1E2A">
      <w:pPr>
        <w:pStyle w:val="Heading1"/>
        <w:rPr>
          <w:rFonts w:eastAsia="Times New Roman"/>
        </w:rPr>
      </w:pPr>
      <w:r>
        <w:rPr>
          <w:rFonts w:eastAsia="Times New Roman"/>
        </w:rPr>
        <w:t xml:space="preserve">Countries and territories in Australia’s near region </w:t>
      </w:r>
    </w:p>
    <w:p w:rsidR="000B1E2A" w:rsidRDefault="000B1E2A" w:rsidP="001A31CE">
      <w:r>
        <w:t>According to WHO, as of 6 December 2020, 46 countries and territories in Australia’s near region (WHO’s South East Asia (SEARO) and Western Pacific (WPRO) regions) reported 784,104 newly-confirmed cases and 10,798 deaths in this reporting period, bringing the cumulative cases in the two regions to 11.9 million and 186,180 cumulative deaths.</w:t>
      </w:r>
      <w:r>
        <w:rPr>
          <w:vertAlign w:val="superscript"/>
        </w:rPr>
        <w:t>15</w:t>
      </w:r>
      <w:r>
        <w:t xml:space="preserve"> Testing rates per million are variable across and within countries, indicating that reported cases may not be reflecting the true infection rate. </w:t>
      </w:r>
    </w:p>
    <w:p w:rsidR="000B1E2A" w:rsidRDefault="000B1E2A" w:rsidP="001A31CE">
      <w:r>
        <w:t xml:space="preserve">Countries in the regions that reported the highest number of new cases were: </w:t>
      </w:r>
    </w:p>
    <w:p w:rsidR="000B1E2A" w:rsidRPr="001A31CE" w:rsidRDefault="000B1E2A" w:rsidP="001A31CE">
      <w:pPr>
        <w:pStyle w:val="ListParagraph"/>
        <w:numPr>
          <w:ilvl w:val="0"/>
          <w:numId w:val="16"/>
        </w:numPr>
        <w:rPr>
          <w:rFonts w:eastAsia="Times New Roman"/>
        </w:rPr>
      </w:pPr>
      <w:r w:rsidRPr="001A31CE">
        <w:rPr>
          <w:rFonts w:eastAsia="Times New Roman"/>
        </w:rPr>
        <w:t xml:space="preserve">India reported 13% fewer new cases and 9% fewer deaths than in the last reporting period (548,416 new cases; 9,644,222 cumulative cases; 6,995 new deaths; 140,182 cumulative deaths); </w:t>
      </w:r>
    </w:p>
    <w:p w:rsidR="000B1E2A" w:rsidRPr="001A31CE" w:rsidRDefault="000B1E2A" w:rsidP="001A31CE">
      <w:pPr>
        <w:pStyle w:val="ListParagraph"/>
        <w:numPr>
          <w:ilvl w:val="0"/>
          <w:numId w:val="16"/>
        </w:numPr>
        <w:rPr>
          <w:rFonts w:eastAsia="Times New Roman"/>
        </w:rPr>
      </w:pPr>
      <w:r w:rsidRPr="001A31CE">
        <w:rPr>
          <w:rFonts w:eastAsia="Times New Roman"/>
        </w:rPr>
        <w:t xml:space="preserve">Indonesia reported a 20% increase in new cases and a 36% increase in deaths compared to the last fortnightly reporting period (76,399 new cases; 569,707 cumulative cases; 1,815 new deaths; 17,589 cumulative deaths); </w:t>
      </w:r>
    </w:p>
    <w:p w:rsidR="000B1E2A" w:rsidRPr="001A31CE" w:rsidRDefault="000B1E2A" w:rsidP="001A31CE">
      <w:pPr>
        <w:pStyle w:val="ListParagraph"/>
        <w:numPr>
          <w:ilvl w:val="0"/>
          <w:numId w:val="16"/>
        </w:numPr>
        <w:rPr>
          <w:rFonts w:eastAsia="Times New Roman"/>
        </w:rPr>
      </w:pPr>
      <w:r w:rsidRPr="001A31CE">
        <w:rPr>
          <w:rFonts w:eastAsia="Times New Roman"/>
        </w:rPr>
        <w:lastRenderedPageBreak/>
        <w:t xml:space="preserve">Bangladesh reported a 10% increase in new cases and a 46% increase in deaths compared to the last fortnightly reporting period (30,598 new cases; 476,879 cumulative cases; 457 new deaths; 6,807 cumulative deaths); </w:t>
      </w:r>
    </w:p>
    <w:p w:rsidR="000B1E2A" w:rsidRPr="001A31CE" w:rsidRDefault="000B1E2A" w:rsidP="001A31CE">
      <w:pPr>
        <w:pStyle w:val="ListParagraph"/>
        <w:numPr>
          <w:ilvl w:val="0"/>
          <w:numId w:val="16"/>
        </w:numPr>
        <w:rPr>
          <w:rFonts w:eastAsia="Times New Roman"/>
        </w:rPr>
      </w:pPr>
      <w:r w:rsidRPr="001A31CE">
        <w:rPr>
          <w:rFonts w:eastAsia="Times New Roman"/>
        </w:rPr>
        <w:t xml:space="preserve">Japan reported a 23% increase in new cases and a more than 17% increase in deaths compared to the last fortnightly reporting period (29,919 new cases; 160,098 cumulative cases; 341 new deaths; 2,315 cumulative deaths); and </w:t>
      </w:r>
    </w:p>
    <w:p w:rsidR="000B1E2A" w:rsidRPr="001A31CE" w:rsidRDefault="000B1E2A" w:rsidP="001A31CE">
      <w:pPr>
        <w:pStyle w:val="ListParagraph"/>
        <w:numPr>
          <w:ilvl w:val="0"/>
          <w:numId w:val="16"/>
        </w:numPr>
        <w:rPr>
          <w:rFonts w:eastAsia="Times New Roman"/>
        </w:rPr>
      </w:pPr>
      <w:r w:rsidRPr="001A31CE">
        <w:rPr>
          <w:rFonts w:eastAsia="Times New Roman"/>
        </w:rPr>
        <w:t xml:space="preserve">Nepal reported 28% fewer new cases and a 16% increase in new deaths compared to the last reporting period (21,246 new cases; 239,885 cumulative cases; 272 new deaths; 1,577 cumulative deaths). </w:t>
      </w:r>
    </w:p>
    <w:p w:rsidR="000B1E2A" w:rsidRDefault="000B1E2A" w:rsidP="001A31CE">
      <w:r>
        <w:t>Countries such as Fiji, the Solomon Islands, Singapore, Marshall Islands, New Caledonia and New Zealand are detecting cases mainly among internation</w:t>
      </w:r>
      <w:r w:rsidR="00F4675F">
        <w:t>al arrivals while in quarantine</w:t>
      </w:r>
      <w:r>
        <w:t>.</w:t>
      </w:r>
      <w:r>
        <w:rPr>
          <w:vertAlign w:val="superscript"/>
        </w:rPr>
        <w:t>3</w:t>
      </w:r>
      <w:r w:rsidR="006E10CF">
        <w:rPr>
          <w:vertAlign w:val="superscript"/>
        </w:rPr>
        <w:t>0,31</w:t>
      </w:r>
      <w:r>
        <w:t xml:space="preserve"> Fourteen Pacific Island countries reported no new cases in the past reporting fortnight. </w:t>
      </w:r>
    </w:p>
    <w:p w:rsidR="000B1E2A" w:rsidRDefault="000B1E2A" w:rsidP="001A31CE">
      <w:r>
        <w:t xml:space="preserve">Table 7 outlines the current Transmission Classification set by WHO for Australia’s near region. Under the WHO’s classification, Australia has a transmission classification of ‘Clusters of cases’. </w:t>
      </w:r>
    </w:p>
    <w:p w:rsidR="000B1E2A" w:rsidRDefault="000B1E2A" w:rsidP="001A31CE">
      <w:pPr>
        <w:pStyle w:val="CDIFigures"/>
      </w:pPr>
      <w:r>
        <w:t>Table 7: Transmission patterns for countries in Australia’s near region, WHO,</w:t>
      </w:r>
      <w:r w:rsidR="006E10CF" w:rsidRPr="00B129A1">
        <w:rPr>
          <w:vertAlign w:val="superscript"/>
        </w:rPr>
        <w:t>3</w:t>
      </w:r>
      <w:r w:rsidR="006E10CF">
        <w:rPr>
          <w:vertAlign w:val="superscript"/>
        </w:rPr>
        <w:t>2</w:t>
      </w:r>
      <w:r w:rsidR="006E10CF">
        <w:t xml:space="preserve"> </w:t>
      </w:r>
      <w:r>
        <w:t xml:space="preserve">6 December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A table summarising transmission patterns (comprising: no cases; sporadic cases; clusters of cases; and community transmission) among the countries in Australia’s near region. Several smaller Western Pacific nations are currently exhibiting no cases or only sporadic cases. Four countries in the near region have current community transmission: Bangladesh, Indonesia, Papua New Guinea and the Philippines."/>
      </w:tblPr>
      <w:tblGrid>
        <w:gridCol w:w="6311"/>
        <w:gridCol w:w="4155"/>
      </w:tblGrid>
      <w:tr w:rsidR="001A31CE" w:rsidRPr="00645918" w:rsidTr="000A590F">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0B1E2A" w:rsidRPr="00645918" w:rsidRDefault="000B1E2A">
            <w:pPr>
              <w:pStyle w:val="NormalWeb"/>
              <w:rPr>
                <w:color w:val="FFFFFF" w:themeColor="background1"/>
                <w:sz w:val="20"/>
              </w:rPr>
            </w:pPr>
            <w:r w:rsidRPr="00645918">
              <w:rPr>
                <w:color w:val="FFFFFF" w:themeColor="background1"/>
                <w:sz w:val="20"/>
              </w:rPr>
              <w:t>Category</w:t>
            </w:r>
          </w:p>
        </w:tc>
        <w:tc>
          <w:tcPr>
            <w:tcW w:w="0" w:type="auto"/>
            <w:hideMark/>
          </w:tcPr>
          <w:p w:rsidR="000B1E2A" w:rsidRPr="00645918" w:rsidRDefault="000B1E2A">
            <w:pPr>
              <w:pStyle w:val="NormalWeb"/>
              <w:rPr>
                <w:color w:val="FFFFFF" w:themeColor="background1"/>
                <w:sz w:val="20"/>
              </w:rPr>
            </w:pPr>
            <w:r w:rsidRPr="00645918">
              <w:rPr>
                <w:color w:val="FFFFFF" w:themeColor="background1"/>
                <w:sz w:val="20"/>
                <w:lang w:val="en-US"/>
              </w:rPr>
              <w:t>Country</w:t>
            </w:r>
          </w:p>
        </w:tc>
      </w:tr>
      <w:tr w:rsidR="000B1E2A" w:rsidRPr="00645918" w:rsidTr="00B70F1C">
        <w:tc>
          <w:tcPr>
            <w:tcW w:w="0" w:type="auto"/>
            <w:hideMark/>
          </w:tcPr>
          <w:p w:rsidR="000B1E2A" w:rsidRPr="00645918" w:rsidRDefault="000B1E2A">
            <w:pPr>
              <w:pStyle w:val="NormalWeb"/>
              <w:rPr>
                <w:sz w:val="20"/>
              </w:rPr>
            </w:pPr>
            <w:r w:rsidRPr="00645918">
              <w:rPr>
                <w:sz w:val="20"/>
              </w:rPr>
              <w:t>No cases</w:t>
            </w:r>
          </w:p>
          <w:p w:rsidR="000B1E2A" w:rsidRPr="00645918" w:rsidRDefault="000B1E2A">
            <w:pPr>
              <w:pStyle w:val="NormalWeb"/>
              <w:rPr>
                <w:sz w:val="20"/>
              </w:rPr>
            </w:pPr>
            <w:r w:rsidRPr="00645918">
              <w:rPr>
                <w:sz w:val="20"/>
              </w:rPr>
              <w:t>Countries/territories/areas with no cases</w:t>
            </w:r>
          </w:p>
        </w:tc>
        <w:tc>
          <w:tcPr>
            <w:tcW w:w="0" w:type="auto"/>
            <w:hideMark/>
          </w:tcPr>
          <w:p w:rsidR="000B1E2A" w:rsidRPr="00645918" w:rsidRDefault="000B1E2A">
            <w:pPr>
              <w:pStyle w:val="NormalWeb"/>
              <w:rPr>
                <w:sz w:val="20"/>
              </w:rPr>
            </w:pPr>
            <w:r w:rsidRPr="00645918">
              <w:rPr>
                <w:sz w:val="20"/>
              </w:rPr>
              <w:t>American Samoa, Cook Islands, Kiribati, Federated States of Micronesia, Nauru, Niue, Palau, Pitcairn Islands, Samoa, Tokelau, Tonga, and Tuvalu</w:t>
            </w:r>
          </w:p>
        </w:tc>
      </w:tr>
      <w:tr w:rsidR="000B1E2A" w:rsidRPr="00645918" w:rsidTr="00B70F1C">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Pr="00645918" w:rsidRDefault="000B1E2A">
            <w:pPr>
              <w:pStyle w:val="NormalWeb"/>
              <w:rPr>
                <w:sz w:val="20"/>
              </w:rPr>
            </w:pPr>
            <w:r w:rsidRPr="00645918">
              <w:rPr>
                <w:sz w:val="20"/>
              </w:rPr>
              <w:t>Sporadic cases</w:t>
            </w:r>
          </w:p>
          <w:p w:rsidR="000B1E2A" w:rsidRPr="00645918" w:rsidRDefault="000B1E2A">
            <w:pPr>
              <w:pStyle w:val="NormalWeb"/>
              <w:rPr>
                <w:sz w:val="20"/>
              </w:rPr>
            </w:pPr>
            <w:r w:rsidRPr="00645918">
              <w:rPr>
                <w:sz w:val="20"/>
              </w:rPr>
              <w:t>Countries/territories/areas with one or more cases, imported or locally detected</w:t>
            </w:r>
          </w:p>
        </w:tc>
        <w:tc>
          <w:tcPr>
            <w:tcW w:w="0" w:type="auto"/>
            <w:hideMark/>
          </w:tcPr>
          <w:p w:rsidR="000B1E2A" w:rsidRPr="00645918" w:rsidRDefault="000B1E2A">
            <w:pPr>
              <w:pStyle w:val="NormalWeb"/>
              <w:rPr>
                <w:sz w:val="20"/>
              </w:rPr>
            </w:pPr>
            <w:r w:rsidRPr="00645918">
              <w:rPr>
                <w:sz w:val="20"/>
              </w:rPr>
              <w:t>Bhutan, Cambodia, Fiji, French Polynesia, Wallis and Futuna, Lao PDR, Marshall Islands, New Caledonia, Solomon Islands, Timor-Leste and Vanuatu</w:t>
            </w:r>
          </w:p>
        </w:tc>
      </w:tr>
      <w:tr w:rsidR="000B1E2A" w:rsidRPr="00645918" w:rsidTr="00B70F1C">
        <w:tc>
          <w:tcPr>
            <w:tcW w:w="0" w:type="auto"/>
            <w:hideMark/>
          </w:tcPr>
          <w:p w:rsidR="000B1E2A" w:rsidRPr="00645918" w:rsidRDefault="000B1E2A">
            <w:pPr>
              <w:pStyle w:val="NormalWeb"/>
              <w:rPr>
                <w:sz w:val="20"/>
              </w:rPr>
            </w:pPr>
            <w:r w:rsidRPr="00645918">
              <w:rPr>
                <w:sz w:val="20"/>
              </w:rPr>
              <w:t>Clusters of cases</w:t>
            </w:r>
          </w:p>
          <w:p w:rsidR="000B1E2A" w:rsidRPr="00645918" w:rsidRDefault="000B1E2A">
            <w:pPr>
              <w:pStyle w:val="NormalWeb"/>
              <w:rPr>
                <w:sz w:val="20"/>
              </w:rPr>
            </w:pPr>
            <w:r w:rsidRPr="00645918">
              <w:rPr>
                <w:sz w:val="20"/>
              </w:rPr>
              <w:t>Countries/territories/areas experiencing cases, clustered in time, geographic location and/or by common exposures</w:t>
            </w:r>
          </w:p>
        </w:tc>
        <w:tc>
          <w:tcPr>
            <w:tcW w:w="0" w:type="auto"/>
            <w:hideMark/>
          </w:tcPr>
          <w:p w:rsidR="000B1E2A" w:rsidRPr="00645918" w:rsidRDefault="000B1E2A">
            <w:pPr>
              <w:pStyle w:val="NormalWeb"/>
              <w:rPr>
                <w:sz w:val="20"/>
              </w:rPr>
            </w:pPr>
            <w:r w:rsidRPr="00645918">
              <w:rPr>
                <w:sz w:val="20"/>
              </w:rPr>
              <w:t>China, Guam, Japan, Malaysia, Maldives, India, Myanmar, Nepal, New Zealand, Republic of Korea, Singapore, Sri Lanka, Thailand, Vietnam and Australia</w:t>
            </w:r>
          </w:p>
        </w:tc>
      </w:tr>
      <w:tr w:rsidR="000B1E2A" w:rsidRPr="00645918" w:rsidTr="00B70F1C">
        <w:trPr>
          <w:cnfStyle w:val="000000010000" w:firstRow="0" w:lastRow="0" w:firstColumn="0" w:lastColumn="0" w:oddVBand="0" w:evenVBand="0" w:oddHBand="0" w:evenHBand="1" w:firstRowFirstColumn="0" w:firstRowLastColumn="0" w:lastRowFirstColumn="0" w:lastRowLastColumn="0"/>
        </w:trPr>
        <w:tc>
          <w:tcPr>
            <w:tcW w:w="0" w:type="auto"/>
            <w:hideMark/>
          </w:tcPr>
          <w:p w:rsidR="000B1E2A" w:rsidRPr="00645918" w:rsidRDefault="000B1E2A">
            <w:pPr>
              <w:pStyle w:val="NormalWeb"/>
              <w:rPr>
                <w:sz w:val="20"/>
              </w:rPr>
            </w:pPr>
            <w:r w:rsidRPr="00645918">
              <w:rPr>
                <w:sz w:val="20"/>
              </w:rPr>
              <w:t>Community transmission</w:t>
            </w:r>
          </w:p>
          <w:p w:rsidR="000B1E2A" w:rsidRPr="00645918" w:rsidRDefault="000B1E2A">
            <w:pPr>
              <w:pStyle w:val="NormalWeb"/>
              <w:rPr>
                <w:sz w:val="20"/>
              </w:rPr>
            </w:pPr>
            <w:r w:rsidRPr="00645918">
              <w:rPr>
                <w:sz w:val="20"/>
              </w:rPr>
              <w:t>Countries /territories/areas experiencing larger outbreaks of local transmission defined through an assessment of factors including, but not limited to:</w:t>
            </w:r>
          </w:p>
          <w:p w:rsidR="000B1E2A" w:rsidRPr="00645918" w:rsidRDefault="000B1E2A" w:rsidP="000B1E2A">
            <w:pPr>
              <w:numPr>
                <w:ilvl w:val="0"/>
                <w:numId w:val="13"/>
              </w:numPr>
              <w:spacing w:before="100" w:beforeAutospacing="1" w:after="100" w:afterAutospacing="1"/>
              <w:rPr>
                <w:rFonts w:eastAsia="Times New Roman"/>
                <w:sz w:val="20"/>
              </w:rPr>
            </w:pPr>
            <w:r w:rsidRPr="00645918">
              <w:rPr>
                <w:rFonts w:eastAsia="Times New Roman"/>
                <w:sz w:val="20"/>
              </w:rPr>
              <w:t>large numbers of cases not linkable to transmission chains</w:t>
            </w:r>
          </w:p>
          <w:p w:rsidR="000B1E2A" w:rsidRPr="00645918" w:rsidRDefault="000B1E2A" w:rsidP="000B1E2A">
            <w:pPr>
              <w:numPr>
                <w:ilvl w:val="0"/>
                <w:numId w:val="13"/>
              </w:numPr>
              <w:spacing w:before="100" w:beforeAutospacing="1" w:after="100" w:afterAutospacing="1"/>
              <w:rPr>
                <w:rFonts w:eastAsia="Times New Roman"/>
                <w:sz w:val="20"/>
              </w:rPr>
            </w:pPr>
            <w:r w:rsidRPr="00645918">
              <w:rPr>
                <w:rFonts w:eastAsia="Times New Roman"/>
                <w:sz w:val="20"/>
              </w:rPr>
              <w:t>large numbers of cases from sentinel lab surveillance or increasing positive tests through sentinel samples (routine systematic testing of respiratory samples from established laboratories)</w:t>
            </w:r>
          </w:p>
          <w:p w:rsidR="000B1E2A" w:rsidRPr="00645918" w:rsidRDefault="000B1E2A" w:rsidP="000B1E2A">
            <w:pPr>
              <w:numPr>
                <w:ilvl w:val="0"/>
                <w:numId w:val="13"/>
              </w:numPr>
              <w:spacing w:before="100" w:beforeAutospacing="1" w:after="100" w:afterAutospacing="1"/>
              <w:rPr>
                <w:rFonts w:eastAsia="Times New Roman"/>
                <w:sz w:val="20"/>
              </w:rPr>
            </w:pPr>
            <w:r w:rsidRPr="00645918">
              <w:rPr>
                <w:rFonts w:eastAsia="Times New Roman"/>
                <w:sz w:val="20"/>
              </w:rPr>
              <w:t>multiple unrelated clusters in several areas of the country/territory/area.</w:t>
            </w:r>
          </w:p>
        </w:tc>
        <w:tc>
          <w:tcPr>
            <w:tcW w:w="0" w:type="auto"/>
            <w:hideMark/>
          </w:tcPr>
          <w:p w:rsidR="000B1E2A" w:rsidRPr="00645918" w:rsidRDefault="000B1E2A">
            <w:pPr>
              <w:pStyle w:val="NormalWeb"/>
              <w:rPr>
                <w:sz w:val="20"/>
              </w:rPr>
            </w:pPr>
            <w:r w:rsidRPr="00645918">
              <w:rPr>
                <w:sz w:val="20"/>
              </w:rPr>
              <w:t>Bangladesh, Indonesia, Papua New Guinea and Philippines</w:t>
            </w:r>
          </w:p>
        </w:tc>
      </w:tr>
    </w:tbl>
    <w:p w:rsidR="000B1E2A" w:rsidRDefault="000B1E2A" w:rsidP="00B70F1C">
      <w:r>
        <w:t xml:space="preserve">Globally, reported new cases decreased by 800,000 from the previous fortnightly reporting period to 7.9 million in this reporting period, and reported new deaths due to COVID-19 increased from 135,900 to 144,113 across the six WHO regions in the past reporting fortnight. These numbers do not suggest a decreasing trend; rather, they suggest that insufficient testing and likely high rates of undetected cases remain in several countries where high positivity rates are reported. To date, over 65.8 million COVID-19 cases and 1.5 million deaths have been reported globally. New cases and deaths in the Region of the Americas account for nearly half of all new cases and over one third of all </w:t>
      </w:r>
      <w:r>
        <w:lastRenderedPageBreak/>
        <w:t xml:space="preserve">new deaths this fortnight. The countries experiencing the greatest number of new cases were the United States of America, India, Brazil, the Russian Federation, and Italy. The highest numbers of reported deaths from COVID-19 were reported in the United States of America, Italy, Mexico, Brazil and the Russian Federation. </w:t>
      </w:r>
    </w:p>
    <w:p w:rsidR="000B1E2A" w:rsidRDefault="000B1E2A" w:rsidP="00B70F1C">
      <w:r>
        <w:t xml:space="preserve">An international summary by WHO Region can be found in the WHO Epidemiological Update dated </w:t>
      </w:r>
      <w:r w:rsidR="006E784D">
        <w:t>8</w:t>
      </w:r>
      <w:r>
        <w:t xml:space="preserve"> December</w:t>
      </w:r>
      <w:r w:rsidR="00B763CF">
        <w:t> </w:t>
      </w:r>
      <w:r>
        <w:t>2020.</w:t>
      </w:r>
      <w:r>
        <w:rPr>
          <w:vertAlign w:val="superscript"/>
        </w:rPr>
        <w:t>3</w:t>
      </w:r>
      <w:r w:rsidR="006E10CF">
        <w:rPr>
          <w:vertAlign w:val="superscript"/>
        </w:rPr>
        <w:t>2,33</w:t>
      </w:r>
      <w:r>
        <w:rPr>
          <w:vertAlign w:val="superscript"/>
        </w:rPr>
        <w:t xml:space="preserve"> </w:t>
      </w:r>
    </w:p>
    <w:p w:rsidR="000B1E2A" w:rsidRPr="00B70F1C" w:rsidRDefault="000B1E2A" w:rsidP="00B70F1C">
      <w:pPr>
        <w:pStyle w:val="Heading1"/>
      </w:pPr>
      <w:r w:rsidRPr="00B70F1C">
        <w:t xml:space="preserve">Interpretation </w:t>
      </w:r>
    </w:p>
    <w:p w:rsidR="003D5864" w:rsidRDefault="003D5864" w:rsidP="003D5864">
      <w:r>
        <w:t>As in previous reports, there has been an overall downward trend in COVID-19 cases following a secondary peak in late July 2020. The local and national epidemiology of COVID-19 continues to inform the public health response. With small numbers of locally-acquired cases in the last fortnight, jurisdictions continued to further ease restrictions.</w:t>
      </w:r>
    </w:p>
    <w:p w:rsidR="003D5864" w:rsidRDefault="003D5864" w:rsidP="003D5864">
      <w:r>
        <w:t>The most recent outbreak in Australia was associated with a cluster of cases in South Australia, known as the ‘Parafield cluster’. A total of 33 cases are known to be associated with this cluster.</w:t>
      </w:r>
      <w:r w:rsidR="006E10CF" w:rsidRPr="006E10CF">
        <w:rPr>
          <w:vertAlign w:val="superscript"/>
        </w:rPr>
        <w:t>34</w:t>
      </w:r>
      <w:r w:rsidR="006E10CF">
        <w:t xml:space="preserve"> </w:t>
      </w:r>
      <w:r>
        <w:t>The first case in this cluster was reported on 15 November, with the last case reported on 29 November. The successful control of this outbreak was achieved by rapid public health interventions along with intensive contact tracing efforts.</w:t>
      </w:r>
    </w:p>
    <w:p w:rsidR="003D5864" w:rsidRDefault="003D5864" w:rsidP="003D5864">
      <w:r>
        <w:t>Australia continues to experience low levels of community transmission of COVID-19; however, testing rates have decreased by 29% since the last reporting period. Moreover, according to FluTracking data, fewer than half those in the community with ‘fever and cough’ were tested for SARS-CoV-2, while rates of self-reported illness have remained stable. The decline in testing in this reporting period is part of a longer-term trend since the end of October. Whilst the decline likely coincides with the number of cases and respiratory illness in the community, it is important for people to present for testing as soon as symptoms present, even if mild.</w:t>
      </w:r>
    </w:p>
    <w:p w:rsidR="003D5864" w:rsidRDefault="003D5864" w:rsidP="003D5864">
      <w:r>
        <w:t>Overseas-acquired cases in quarantine remain the greatest source of new COVID-19 cases reported in Australia. Locally-acquired cases reported in the last fortnight have had linkages to quarantine settings, highlighting the importance of ongoing surveillance in these settings.</w:t>
      </w:r>
    </w:p>
    <w:p w:rsidR="003D5864" w:rsidRDefault="003D5864" w:rsidP="003D5864">
      <w:r>
        <w:t>Cumulative demographic trends to date show that: persons aged ≥ 90 years have the highest cumulative rate of infection; children aged 0–9 years have the lowest rate of infection; and cases in Aboriginal and Torres Strait Islander people account for less than 1% of all confirmed cases. Currently the median age of cases tends to be 37 years old, which has remained unchanged since the beginning of August.</w:t>
      </w:r>
    </w:p>
    <w:p w:rsidR="000B1E2A" w:rsidRDefault="003D5864" w:rsidP="003D5864">
      <w:r>
        <w:t>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w:t>
      </w:r>
    </w:p>
    <w:p w:rsidR="00397D11" w:rsidRDefault="00397D11">
      <w:pPr>
        <w:rPr>
          <w:rFonts w:asciiTheme="majorHAnsi" w:eastAsiaTheme="majorEastAsia" w:hAnsiTheme="majorHAnsi" w:cstheme="majorBidi"/>
          <w:b/>
          <w:bCs/>
          <w:sz w:val="26"/>
          <w:szCs w:val="26"/>
        </w:rPr>
      </w:pPr>
      <w:r>
        <w:br w:type="page"/>
      </w:r>
    </w:p>
    <w:p w:rsidR="000B1E2A" w:rsidRPr="00B70F1C" w:rsidRDefault="000B1E2A" w:rsidP="00B70F1C">
      <w:pPr>
        <w:pStyle w:val="Heading2"/>
      </w:pPr>
      <w:r w:rsidRPr="00B70F1C">
        <w:lastRenderedPageBreak/>
        <w:t xml:space="preserve">Definitions </w:t>
      </w:r>
    </w:p>
    <w:p w:rsidR="000B1E2A" w:rsidRDefault="000B1E2A" w:rsidP="00B70F1C">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0B1E2A" w:rsidRDefault="000B1E2A" w:rsidP="00B70F1C">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rsidR="000B1E2A" w:rsidRDefault="000B1E2A" w:rsidP="00B70F1C">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w:t>
      </w:r>
      <w:r w:rsidR="006E10CF">
        <w:rPr>
          <w:vertAlign w:val="superscript"/>
        </w:rPr>
        <w:t>5</w:t>
      </w:r>
      <w:r>
        <w:t xml:space="preserve"> There should be no period of complete recovery from COVID-19 between illness and death. Where a Coroner’s report is available, these findings are to be observed. </w:t>
      </w:r>
    </w:p>
    <w:p w:rsidR="000B1E2A" w:rsidRDefault="000B1E2A" w:rsidP="00B70F1C">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rsidR="000B1E2A" w:rsidRDefault="000B1E2A" w:rsidP="00B70F1C">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rsidR="000B1E2A" w:rsidRDefault="000B1E2A" w:rsidP="00B70F1C">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rsidR="000B1E2A" w:rsidRDefault="000B1E2A" w:rsidP="00B70F1C">
      <w:r>
        <w:rPr>
          <w:rStyle w:val="Strong"/>
        </w:rPr>
        <w:t>“SARS-CoV-2”</w:t>
      </w:r>
      <w:r>
        <w:t xml:space="preserve"> is the virus that causes the disease COVID-19. It is a betacoronavirus genetically related to the 2003 Severe acute respiratory syndrome coronavirus (SARS-CoV). </w:t>
      </w:r>
    </w:p>
    <w:p w:rsidR="000B1E2A" w:rsidRDefault="000B1E2A" w:rsidP="00B70F1C">
      <w:r>
        <w:t>“</w:t>
      </w:r>
      <w:r>
        <w:rPr>
          <w:rStyle w:val="Strong"/>
        </w:rPr>
        <w:t>This reporting period</w:t>
      </w:r>
      <w:r>
        <w:t xml:space="preserve">” refers to the period covered by this report, i.e. 23 November – 6 December 2020. </w:t>
      </w:r>
    </w:p>
    <w:p w:rsidR="000B1E2A" w:rsidRPr="00B70F1C" w:rsidRDefault="000B1E2A" w:rsidP="00B70F1C">
      <w:pPr>
        <w:pStyle w:val="Heading1"/>
      </w:pPr>
      <w:r w:rsidRPr="00B70F1C">
        <w:t xml:space="preserve">Acknowledgements </w:t>
      </w:r>
    </w:p>
    <w:p w:rsidR="000B1E2A" w:rsidRDefault="000B1E2A" w:rsidP="00B70F1C">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FluCan. </w:t>
      </w:r>
    </w:p>
    <w:p w:rsidR="000B1E2A" w:rsidRDefault="000B1E2A" w:rsidP="00B70F1C">
      <w:r>
        <w:t>This is the last</w:t>
      </w:r>
      <w:r w:rsidRPr="00012838">
        <w:rPr>
          <w:rStyle w:val="Emphasis"/>
          <w:b w:val="0"/>
        </w:rPr>
        <w:t xml:space="preserve"> Communicable Diseases Intelligence</w:t>
      </w:r>
      <w:r>
        <w:t xml:space="preserve"> COVID-19 epidemiology report for 2020. Report 32 will be made available in January 2021. </w:t>
      </w:r>
    </w:p>
    <w:p w:rsidR="004B1767" w:rsidRDefault="004B1767">
      <w:pPr>
        <w:rPr>
          <w:rFonts w:asciiTheme="majorHAnsi" w:eastAsiaTheme="majorEastAsia" w:hAnsiTheme="majorHAnsi" w:cstheme="majorBidi"/>
          <w:b/>
          <w:bCs/>
          <w:sz w:val="32"/>
          <w:szCs w:val="28"/>
        </w:rPr>
      </w:pPr>
      <w:r>
        <w:br w:type="page"/>
      </w:r>
    </w:p>
    <w:p w:rsidR="000B1E2A" w:rsidRPr="00B70F1C" w:rsidRDefault="000B1E2A" w:rsidP="00B70F1C">
      <w:pPr>
        <w:pStyle w:val="Heading1"/>
      </w:pPr>
      <w:r w:rsidRPr="00B70F1C">
        <w:lastRenderedPageBreak/>
        <w:t xml:space="preserve">Author details </w:t>
      </w:r>
    </w:p>
    <w:p w:rsidR="000B1E2A" w:rsidRPr="00B70F1C" w:rsidRDefault="000B1E2A" w:rsidP="00B70F1C">
      <w:pPr>
        <w:pStyle w:val="Heading2"/>
      </w:pPr>
      <w:r w:rsidRPr="00B70F1C">
        <w:t xml:space="preserve">Corresponding author </w:t>
      </w:r>
    </w:p>
    <w:p w:rsidR="000B1E2A" w:rsidRDefault="000B1E2A" w:rsidP="00B70F1C">
      <w:r>
        <w:t xml:space="preserve">COVID-19 National Incident Room Surveillance Team, Australian Government Department of Health, GPO Box 9484, MDP 14, Canberra, ACT 2601. Email: epi.coronavirus@health.gov.au </w:t>
      </w:r>
    </w:p>
    <w:p w:rsidR="000B1E2A" w:rsidRPr="00B70F1C" w:rsidRDefault="000B1E2A" w:rsidP="00B70F1C">
      <w:pPr>
        <w:pStyle w:val="Heading1"/>
      </w:pPr>
      <w:r w:rsidRPr="00B70F1C">
        <w:t xml:space="preserve">References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Rockett RJ, Arnott A, Lam C, Sadsad R, Timms V, Gray KA et al. Revealing COVID-19 transmission in Australia by SARS-CoV-2 genome sequencing and agent-based modeling. </w:t>
      </w:r>
      <w:r w:rsidRPr="00B70F1C">
        <w:rPr>
          <w:rStyle w:val="Emphasis"/>
          <w:rFonts w:eastAsia="Times New Roman"/>
          <w:b w:val="0"/>
        </w:rPr>
        <w:t>Nat Med</w:t>
      </w:r>
      <w:r w:rsidRPr="00B70F1C">
        <w:rPr>
          <w:rFonts w:eastAsia="Times New Roman"/>
        </w:rPr>
        <w:t xml:space="preserve">. 2020. doi: https://doi.org/10.1038/s41591-020-1000-7.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World Health Organization (WHO).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McAloon C, Collins Á, Hunt K, Barber A, Byrne AW, Butler F et al. Incubation period of COVID-19: a rapid systematic review and meta-analysis of observational research. </w:t>
      </w:r>
      <w:r w:rsidRPr="00B70F1C">
        <w:rPr>
          <w:rStyle w:val="Emphasis"/>
          <w:rFonts w:eastAsia="Times New Roman"/>
          <w:b w:val="0"/>
        </w:rPr>
        <w:t>BMJ Open</w:t>
      </w:r>
      <w:r w:rsidRPr="00B70F1C">
        <w:rPr>
          <w:rFonts w:eastAsia="Times New Roman"/>
        </w:rPr>
        <w:t xml:space="preserve">. 2020;10(8). doi: https://doi.org/10.1136/bmjopen-2020-039652.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Yuan Z, Xiao Y, Dai Z, Huang J, Zhang Z, Chen Y. Modelling the effects of Wuhan’s lockdown during COVID-19, China. </w:t>
      </w:r>
      <w:r w:rsidRPr="00B70F1C">
        <w:rPr>
          <w:rStyle w:val="Emphasis"/>
          <w:rFonts w:eastAsia="Times New Roman"/>
          <w:b w:val="0"/>
        </w:rPr>
        <w:t>Bull World Health Organ</w:t>
      </w:r>
      <w:r w:rsidRPr="00B70F1C">
        <w:rPr>
          <w:rFonts w:eastAsia="Times New Roman"/>
        </w:rPr>
        <w:t xml:space="preserve">. 2020;98(7):484–94.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Rothan HA, Byrareddy SN. The epidemiology and pathogenesis of coronavirus disease (COVID-19) outbreak. </w:t>
      </w:r>
      <w:r w:rsidRPr="00B70F1C">
        <w:rPr>
          <w:rStyle w:val="Emphasis"/>
          <w:rFonts w:eastAsia="Times New Roman"/>
          <w:b w:val="0"/>
        </w:rPr>
        <w:t>J Autoimmun</w:t>
      </w:r>
      <w:r w:rsidRPr="00B70F1C">
        <w:rPr>
          <w:rFonts w:eastAsia="Times New Roman"/>
        </w:rPr>
        <w:t xml:space="preserve">. 2020;109. doi: https://doi.org/10.1016/j.jaut.2020.102433.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Hu Y, Sun J, Dai Z, Deng H, Li X, Huang Q et al. Prevalence and severity of corona virus disease 2019 (COVID-19): A systematic review and meta-analysis. </w:t>
      </w:r>
      <w:r w:rsidRPr="00B70F1C">
        <w:rPr>
          <w:rStyle w:val="Emphasis"/>
          <w:rFonts w:eastAsia="Times New Roman"/>
          <w:b w:val="0"/>
        </w:rPr>
        <w:t>J Clin Virol</w:t>
      </w:r>
      <w:r w:rsidRPr="00B70F1C">
        <w:rPr>
          <w:rFonts w:eastAsia="Times New Roman"/>
        </w:rPr>
        <w:t xml:space="preserve">. 2020; 127. doi: https://doi.org/10.1016/j.jcv.2020.104371.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WHO. Report of the WHO-China Joint Mission on Coronavirus Disease 2019 (COVID-19). Geneva: WHO; 2020. [Accessed on 14 October 2020.] Available from: https://www.who.int/docs/default-source/coronaviruse/who-china-joint-mission-on-covid-19-final-report.pdf.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Government Department of Health. Coronavirus Disease 2019 (COVID-19): CDNA national guidelines for public health units. Canberra: Australian Government Department of Health; 28 October 2020. [Accessed on 9 November 2020.] Available from: https://www1.health.gov.au/internet/main/publishing.nsf/Content/7A8654A8CB144F5FCA2584F8001F91E2/$File/COVID-19-SoNG-v3.10.pdf.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Dalton C, Durrheim D, Fejsa J, Francis L, Carlson S, d’Espaignet ET et al. Flutracking: a weekly Australian community online survey of influenza-like illness in 2006, 2007 and 2008. </w:t>
      </w:r>
      <w:r w:rsidRPr="00B70F1C">
        <w:rPr>
          <w:rStyle w:val="Emphasis"/>
          <w:rFonts w:eastAsia="Times New Roman"/>
          <w:b w:val="0"/>
        </w:rPr>
        <w:t>Commun Dis Intell Q Rep</w:t>
      </w:r>
      <w:r w:rsidRPr="00B70F1C">
        <w:rPr>
          <w:rFonts w:eastAsia="Times New Roman"/>
        </w:rPr>
        <w:t xml:space="preserve">. 2009;33(3):316–22.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0B1E2A" w:rsidRPr="00B70F1C" w:rsidRDefault="000B1E2A" w:rsidP="00B70F1C">
      <w:pPr>
        <w:pStyle w:val="ListParagraph"/>
        <w:numPr>
          <w:ilvl w:val="0"/>
          <w:numId w:val="17"/>
        </w:numPr>
        <w:rPr>
          <w:rFonts w:eastAsia="Times New Roman"/>
        </w:rPr>
      </w:pPr>
      <w:r w:rsidRPr="00B70F1C">
        <w:rPr>
          <w:rFonts w:eastAsia="Times New Roman"/>
        </w:rPr>
        <w:lastRenderedPageBreak/>
        <w:t xml:space="preserve">Australian and New Zealand Intensive Care Society (ANZICS). SPRINT-SARI: Short period incidence study of severe acute respiratory infection. [Internet.] Camberwell: ANZICS; 2020. Available from: https://www.anzics.com.au/current-active-endorsed-research/sprint-sari/.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Global Initiative on Sharing All Influenza Data (GISAID). [Website.] Berlin: Federal Republic of Germany, Freunde von GISAID e.V.; 2020. [Accessed on 15 October 2020.] Available from: https://www.gisaid.org/.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Bedford T, Neher R, Hadfield J, Hodcroft E, Sibley T, Huddleston J et al. Nextstrain: Genomic epidemiology of novel coronavirus - Oceania-focused subsampling. [Internet.] Nextstrain; 2020. [Accessed on 15 October 2020.] Available from: https://nextstrain.org/ncov/oceania.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WHO. WHO Coronavirus Disease (COVID-19) dashboard. [Internet.] Geneva: WHO; 6 December 2020. [Accessed on 7 December 2020.] Available from: https://covid19.who.int/.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Seemann T, Lane CR, Sherry NL, Duchene S, Goncalves da Silva A, Caly L et al. Tracking the COVID-19 pandemic in Australia using genomics. Nat Commun. 2020;11(1):4376. doi: https://doi.org/10.1038/s41467-020-18314-x.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Eden JS, Rockett R, Carter I, Rahman H, de Ligt J, Hadfield J et al. An emergent clade of SARS-CoV-2 linked to returned travellers from Iran. Virus Evol. 2020;6(1):veaa027. doi: https://doi.org/10.1093/ve/veaa027.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Prime Minister of Australia. National Cabinet media statement. 13 Nov 2020. Prime Minister. [Internet.] Canberra: Australian Government Department of Prime Minister and Cabinet; 13 November 2020. [Accessed on 24 November 2020.] Available from: https://www.pm.gov.au/media/national-cabinet-2.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Government of New South Wales. What you can and can’t do under the rules. [Internet.] Sydney: Government of New South Wales; 2020. [Accessed on 10 November 2020.] Available from: https://www.nsw.gov.au/covid-19/what-you-can-and-cant-do-under-rules#recent-and-upcoming-changes.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Victoria State Government. How we live: information for all Victorians. Victoria moves to COVIDSafe Summer from 11:59pm 6 December 2020. [Internet.] Melbourne: Victoria State Government; 2020. [Accessed on 8 December 2020.] Available from: https://www.coronavirus.vic.gov.au/how-we-live.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Queensland Government. Queensland’s COVIDSafe future. Brisbane: Queensland Government; 2020. [Accessed on 8 December 2020.] Available from: https://www.covid19.qld.gov.au/__data/assets/pdf_file/0016/127150/DPC7309-COVID-19-Restrictions-roadmap.pdf.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Government of Western Australia. COVID-19 coronavirus: what you can and can’t do. Information about current restrictions. [Internet.] Perth: Government of Western Australia; 2020. [Accessed on 8 December 2020.] Available from: https://www.wa.gov.au/organisation/department-of-the-premier-and-cabinet/covid-19-coronavirus-what-you-can-and-cant-do. </w:t>
      </w:r>
    </w:p>
    <w:p w:rsidR="000B1E2A" w:rsidRPr="00B70F1C" w:rsidRDefault="000B1E2A" w:rsidP="00B70F1C">
      <w:pPr>
        <w:pStyle w:val="ListParagraph"/>
        <w:numPr>
          <w:ilvl w:val="0"/>
          <w:numId w:val="17"/>
        </w:numPr>
        <w:rPr>
          <w:rFonts w:eastAsia="Times New Roman"/>
        </w:rPr>
      </w:pPr>
      <w:r w:rsidRPr="00B70F1C">
        <w:rPr>
          <w:rFonts w:eastAsia="Times New Roman"/>
        </w:rPr>
        <w:lastRenderedPageBreak/>
        <w:t xml:space="preserve">Government of South Australia. COVID-19 response: current restrictions. [Internet.] Adelaide: Government of South Australia; 2020. [Accessed on 8 December 2020.] Available from: https://www.covid-19.sa.gov.au/recovery.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Tasmanian Government. Coronavirus disease (COVID-19). Important community updates. [Internet.] Hobart: Tasmanian Government; 2020. [Accessed on 8 December 2020.] Available from: https://coronavirus.tas.gov.au/facts/important-community-updates.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Australian Capital Territory Government. Canberra’s recovery plan: easing of restrictions roadmap (as at 02 December 2020). Canberra: Australian Capital Territory Government; 2020. [Accessed on 8 December 2020.] Available from: https://www.covid19.act.gov.au/__data/assets/pdf_file/0004/1664968/PICC0050-COVID-Recovery-Plan_2-December-2020.pdf.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Northern Territory Government. Coronavirus (COVID-19): New COVID-safe check-in system available next week. [Internet.] Darwin: Northern Territory Government; 24 November 2020. [Accessed on 8 December 2020.] Available from: https://coronavirus.nt.gov.au/updates/items/2020-11-24-new-covid-safe-check-in-system-available-next-week.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Government of Singapore, Ministry of Health. Situation Report Coronavirus Disease (COVID-19). Singapore: Government of Singapore Ministry of Health; 6 November 2020. [Accessed on 9 December 2020.] Available from: https://www.moh.gov.sg/covid-19/situation-report.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New Zealand Government Ministry of Health: Data and statistics - current cases. Wellington: New Zealand Government Ministry of Health; 6 December 2020. [Accessed on 7 December 2020.] https://www.health.govt.nz/our-work/diseases-and-conditions/covid-19-novel-coronavirus/covid-19-data-and-statistics/covid-19-current-cases#current-situation. </w:t>
      </w:r>
    </w:p>
    <w:p w:rsidR="000B1E2A" w:rsidRPr="00B70F1C" w:rsidRDefault="000B1E2A" w:rsidP="00B70F1C">
      <w:pPr>
        <w:pStyle w:val="ListParagraph"/>
        <w:numPr>
          <w:ilvl w:val="0"/>
          <w:numId w:val="17"/>
        </w:numPr>
        <w:rPr>
          <w:rFonts w:eastAsia="Times New Roman"/>
        </w:rPr>
      </w:pPr>
      <w:r w:rsidRPr="00B70F1C">
        <w:rPr>
          <w:rFonts w:eastAsia="Times New Roman"/>
        </w:rPr>
        <w:t xml:space="preserve">WHO. Weekly epidemiological update - 8 December 2020. [Internet.] Geneva: WHO; 8 December 2020. [Accessed on 10 December 2020.] Available from: https://www.who.int/publications/m/item/weekly-epidemiological-update-8-december-2020. </w:t>
      </w:r>
    </w:p>
    <w:p w:rsidR="000B1E2A" w:rsidRDefault="000B1E2A" w:rsidP="00B70F1C">
      <w:pPr>
        <w:pStyle w:val="ListParagraph"/>
        <w:numPr>
          <w:ilvl w:val="0"/>
          <w:numId w:val="17"/>
        </w:numPr>
        <w:rPr>
          <w:rFonts w:eastAsia="Times New Roman"/>
        </w:rPr>
      </w:pPr>
      <w:r w:rsidRPr="00B70F1C">
        <w:rPr>
          <w:rFonts w:eastAsia="Times New Roman"/>
        </w:rPr>
        <w:t xml:space="preserve">WHO. Weekly operational update on COVID-19 – 7 December 2020. [Internet.] Geneva: WHO; 7 December 2020. [Accessed on 10 December 2020.] Available from: https://www.who.int/publications/m/item/weekly-operational-update-on-covid-19---7-december-2020. </w:t>
      </w:r>
    </w:p>
    <w:p w:rsidR="009F207B" w:rsidRPr="00B70F1C" w:rsidRDefault="009F207B" w:rsidP="009F207B">
      <w:pPr>
        <w:pStyle w:val="ListParagraph"/>
        <w:numPr>
          <w:ilvl w:val="0"/>
          <w:numId w:val="17"/>
        </w:numPr>
        <w:rPr>
          <w:rFonts w:eastAsia="Times New Roman"/>
        </w:rPr>
      </w:pPr>
      <w:r w:rsidRPr="009F207B">
        <w:rPr>
          <w:rFonts w:eastAsia="Times New Roman"/>
        </w:rPr>
        <w:t>South Australia Health (SA Health). COVID-19 update 7 December 2020. [Internet.] Adelaide: Government of South Australia; 7 December 2020. Available from: https://www.sahealth.sa.gov.au/wps/wcm/connect/public+content/sa+health+internet/about+us/news+and+media/all+media+releases/covid-19+update+7+december+2020.</w:t>
      </w:r>
    </w:p>
    <w:p w:rsidR="000B1E2A" w:rsidRPr="00B70F1C" w:rsidRDefault="000B1E2A" w:rsidP="00B70F1C">
      <w:pPr>
        <w:pStyle w:val="ListParagraph"/>
        <w:numPr>
          <w:ilvl w:val="0"/>
          <w:numId w:val="17"/>
        </w:numPr>
        <w:rPr>
          <w:rFonts w:eastAsia="Times New Roman"/>
        </w:rPr>
      </w:pPr>
      <w:r w:rsidRPr="00B70F1C">
        <w:rPr>
          <w:rFonts w:eastAsia="Times New Roman"/>
        </w:rPr>
        <w:t>Australian Bureau of Statistics. Articles. Measuring excess mortality in Australia during the COVID-19 pandemic: methodology. [Internet.] Canberra: Australian Bureau of Statistics; 25 November 2020. [Accessed on 25 November 2020.] Available from: https://www.abs.gov.au/articles/measuring-excess-mortality-australia-during-covid-19-pandemic#methodology.</w:t>
      </w:r>
    </w:p>
    <w:p w:rsidR="00B70F1C" w:rsidRDefault="00B70F1C" w:rsidP="00B70F1C">
      <w:pPr>
        <w:pStyle w:val="Heading1"/>
        <w:sectPr w:rsidR="00B70F1C" w:rsidSect="00A30C37">
          <w:pgSz w:w="11906" w:h="16838"/>
          <w:pgMar w:top="720" w:right="720" w:bottom="1134" w:left="720" w:header="709" w:footer="284" w:gutter="0"/>
          <w:cols w:space="708"/>
          <w:titlePg/>
          <w:docGrid w:linePitch="360"/>
        </w:sectPr>
      </w:pPr>
    </w:p>
    <w:p w:rsidR="000B1E2A" w:rsidRPr="00B70F1C" w:rsidRDefault="000B1E2A" w:rsidP="00B70F1C">
      <w:pPr>
        <w:pStyle w:val="Heading1"/>
      </w:pPr>
      <w:r w:rsidRPr="00B70F1C">
        <w:lastRenderedPageBreak/>
        <w:t>Appendix A: Supplementary figures and tables</w:t>
      </w:r>
    </w:p>
    <w:p w:rsidR="000B1E2A" w:rsidRDefault="000B1E2A" w:rsidP="00B70F1C">
      <w:pPr>
        <w:pStyle w:val="CDIFigures"/>
      </w:pPr>
      <w:r>
        <w:t>Table A.1: COVID-19 case notifications and rates per 100,000 population, by age group and sex, Australia, 6 December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w:tblPr>
      <w:tblGrid>
        <w:gridCol w:w="1276"/>
        <w:gridCol w:w="992"/>
        <w:gridCol w:w="993"/>
        <w:gridCol w:w="1269"/>
        <w:gridCol w:w="973"/>
        <w:gridCol w:w="1110"/>
        <w:gridCol w:w="1311"/>
        <w:gridCol w:w="992"/>
        <w:gridCol w:w="1134"/>
        <w:gridCol w:w="1414"/>
        <w:gridCol w:w="985"/>
        <w:gridCol w:w="974"/>
        <w:gridCol w:w="1561"/>
      </w:tblGrid>
      <w:tr w:rsidR="00B70F1C" w:rsidRPr="00B70F1C" w:rsidTr="00CE34E9">
        <w:trPr>
          <w:cnfStyle w:val="100000000000" w:firstRow="1" w:lastRow="0" w:firstColumn="0" w:lastColumn="0" w:oddVBand="0" w:evenVBand="0" w:oddHBand="0" w:evenHBand="0" w:firstRowFirstColumn="0" w:firstRowLastColumn="0" w:lastRowFirstColumn="0" w:lastRowLastColumn="0"/>
          <w:tblHeader/>
        </w:trPr>
        <w:tc>
          <w:tcPr>
            <w:tcW w:w="1276" w:type="dxa"/>
            <w:vMerge w:val="restart"/>
            <w:tcBorders>
              <w:bottom w:val="single" w:sz="2" w:space="0" w:color="FFFFFF" w:themeColor="background1"/>
              <w:right w:val="single" w:sz="2" w:space="0" w:color="FFFFFF" w:themeColor="background1"/>
            </w:tcBorders>
            <w:hideMark/>
          </w:tcPr>
          <w:p w:rsidR="000B1E2A" w:rsidRPr="00B70F1C" w:rsidRDefault="000B1E2A">
            <w:pPr>
              <w:pStyle w:val="NormalWeb"/>
              <w:rPr>
                <w:color w:val="FFFFFF" w:themeColor="background1"/>
              </w:rPr>
            </w:pPr>
            <w:r w:rsidRPr="00B70F1C">
              <w:rPr>
                <w:color w:val="FFFFFF" w:themeColor="background1"/>
              </w:rPr>
              <w:t>Age group</w:t>
            </w:r>
          </w:p>
        </w:tc>
        <w:tc>
          <w:tcPr>
            <w:tcW w:w="6648" w:type="dxa"/>
            <w:gridSpan w:val="6"/>
            <w:tcBorders>
              <w:left w:val="single" w:sz="2" w:space="0" w:color="FFFFFF" w:themeColor="background1"/>
              <w:bottom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lang w:val="en-US"/>
              </w:rPr>
              <w:t>This reporting period</w:t>
            </w:r>
          </w:p>
        </w:tc>
        <w:tc>
          <w:tcPr>
            <w:tcW w:w="7060" w:type="dxa"/>
            <w:gridSpan w:val="6"/>
            <w:tcBorders>
              <w:left w:val="single" w:sz="2" w:space="0" w:color="FFFFFF" w:themeColor="background1"/>
              <w:bottom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Cumulative</w:t>
            </w:r>
          </w:p>
        </w:tc>
      </w:tr>
      <w:tr w:rsidR="00CE34E9" w:rsidRPr="00B70F1C" w:rsidTr="00CE34E9">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bottom w:val="single" w:sz="2" w:space="0" w:color="FFFFFF" w:themeColor="background1"/>
              <w:right w:val="single" w:sz="2" w:space="0" w:color="FFFFFF" w:themeColor="background1"/>
            </w:tcBorders>
            <w:hideMark/>
          </w:tcPr>
          <w:p w:rsidR="000B1E2A" w:rsidRPr="00B70F1C" w:rsidRDefault="000B1E2A">
            <w:pPr>
              <w:rPr>
                <w:color w:val="FFFFFF" w:themeColor="background1"/>
                <w:sz w:val="24"/>
                <w:szCs w:val="24"/>
              </w:rPr>
            </w:pPr>
          </w:p>
        </w:tc>
        <w:tc>
          <w:tcPr>
            <w:tcW w:w="325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Cases</w:t>
            </w:r>
          </w:p>
        </w:tc>
        <w:tc>
          <w:tcPr>
            <w:tcW w:w="339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Rate per 100,000 population</w:t>
            </w:r>
          </w:p>
        </w:tc>
        <w:tc>
          <w:tcPr>
            <w:tcW w:w="3540"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Cases</w:t>
            </w:r>
          </w:p>
        </w:tc>
        <w:tc>
          <w:tcPr>
            <w:tcW w:w="3520" w:type="dxa"/>
            <w:gridSpan w:val="3"/>
            <w:tcBorders>
              <w:top w:val="single" w:sz="2" w:space="0" w:color="FFFFFF" w:themeColor="background1"/>
              <w:left w:val="single" w:sz="2" w:space="0" w:color="FFFFFF" w:themeColor="background1"/>
              <w:bottom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Rate per 100,000 population</w:t>
            </w:r>
          </w:p>
        </w:tc>
      </w:tr>
      <w:tr w:rsidR="00CE34E9" w:rsidRPr="00B70F1C" w:rsidTr="00CE34E9">
        <w:trPr>
          <w:cnfStyle w:val="100000000000" w:firstRow="1" w:lastRow="0" w:firstColumn="0" w:lastColumn="0" w:oddVBand="0" w:evenVBand="0" w:oddHBand="0" w:evenHBand="0" w:firstRowFirstColumn="0" w:firstRowLastColumn="0" w:lastRowFirstColumn="0" w:lastRowLastColumn="0"/>
          <w:tblHeader/>
        </w:trPr>
        <w:tc>
          <w:tcPr>
            <w:tcW w:w="1276" w:type="dxa"/>
            <w:vMerge/>
            <w:tcBorders>
              <w:top w:val="single" w:sz="2" w:space="0" w:color="FFFFFF" w:themeColor="background1"/>
              <w:right w:val="single" w:sz="2" w:space="0" w:color="FFFFFF" w:themeColor="background1"/>
            </w:tcBorders>
            <w:hideMark/>
          </w:tcPr>
          <w:p w:rsidR="000B1E2A" w:rsidRPr="00B70F1C" w:rsidRDefault="000B1E2A">
            <w:pPr>
              <w:rPr>
                <w:color w:val="FFFFFF" w:themeColor="background1"/>
                <w:sz w:val="24"/>
                <w:szCs w:val="24"/>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Male</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Female</w:t>
            </w:r>
          </w:p>
        </w:tc>
        <w:tc>
          <w:tcPr>
            <w:tcW w:w="1269"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People</w:t>
            </w:r>
          </w:p>
        </w:tc>
        <w:tc>
          <w:tcPr>
            <w:tcW w:w="973"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Male</w:t>
            </w:r>
          </w:p>
        </w:tc>
        <w:tc>
          <w:tcPr>
            <w:tcW w:w="1110"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Female</w:t>
            </w:r>
          </w:p>
        </w:tc>
        <w:tc>
          <w:tcPr>
            <w:tcW w:w="1311"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People</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Male</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Female</w:t>
            </w:r>
          </w:p>
        </w:tc>
        <w:tc>
          <w:tcPr>
            <w:tcW w:w="1414"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People</w:t>
            </w:r>
          </w:p>
        </w:tc>
        <w:tc>
          <w:tcPr>
            <w:tcW w:w="985"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Male</w:t>
            </w:r>
          </w:p>
        </w:tc>
        <w:tc>
          <w:tcPr>
            <w:tcW w:w="974" w:type="dxa"/>
            <w:tcBorders>
              <w:top w:val="single" w:sz="2" w:space="0" w:color="FFFFFF" w:themeColor="background1"/>
              <w:left w:val="single" w:sz="2" w:space="0" w:color="FFFFFF" w:themeColor="background1"/>
              <w:righ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rPr>
              <w:t>Female</w:t>
            </w:r>
          </w:p>
        </w:tc>
        <w:tc>
          <w:tcPr>
            <w:tcW w:w="1561" w:type="dxa"/>
            <w:tcBorders>
              <w:top w:val="single" w:sz="2" w:space="0" w:color="FFFFFF" w:themeColor="background1"/>
              <w:left w:val="single" w:sz="2" w:space="0" w:color="FFFFFF" w:themeColor="background1"/>
            </w:tcBorders>
            <w:hideMark/>
          </w:tcPr>
          <w:p w:rsidR="000B1E2A" w:rsidRPr="00B70F1C" w:rsidRDefault="000B1E2A" w:rsidP="00CE34E9">
            <w:pPr>
              <w:pStyle w:val="NormalWeb"/>
              <w:jc w:val="center"/>
              <w:rPr>
                <w:color w:val="FFFFFF" w:themeColor="background1"/>
              </w:rPr>
            </w:pPr>
            <w:r w:rsidRPr="00B70F1C">
              <w:rPr>
                <w:color w:val="FFFFFF" w:themeColor="background1"/>
                <w:lang w:val="en-US"/>
              </w:rPr>
              <w:t>People</w:t>
            </w:r>
          </w:p>
        </w:tc>
      </w:tr>
      <w:tr w:rsidR="00CE34E9" w:rsidTr="00CE34E9">
        <w:tc>
          <w:tcPr>
            <w:tcW w:w="1276" w:type="dxa"/>
            <w:hideMark/>
          </w:tcPr>
          <w:p w:rsidR="000B1E2A" w:rsidRDefault="000B1E2A">
            <w:pPr>
              <w:pStyle w:val="NormalWeb"/>
            </w:pPr>
            <w:r>
              <w:t>0 to 9</w:t>
            </w:r>
          </w:p>
        </w:tc>
        <w:tc>
          <w:tcPr>
            <w:tcW w:w="992" w:type="dxa"/>
            <w:hideMark/>
          </w:tcPr>
          <w:p w:rsidR="000B1E2A" w:rsidRDefault="000B1E2A" w:rsidP="00CE34E9">
            <w:pPr>
              <w:pStyle w:val="NormalWeb"/>
              <w:jc w:val="center"/>
            </w:pPr>
            <w:r>
              <w:t>3</w:t>
            </w:r>
          </w:p>
        </w:tc>
        <w:tc>
          <w:tcPr>
            <w:tcW w:w="993" w:type="dxa"/>
            <w:hideMark/>
          </w:tcPr>
          <w:p w:rsidR="000B1E2A" w:rsidRDefault="000B1E2A" w:rsidP="00CE34E9">
            <w:pPr>
              <w:pStyle w:val="NormalWeb"/>
              <w:jc w:val="center"/>
            </w:pPr>
            <w:r>
              <w:t>7</w:t>
            </w:r>
          </w:p>
        </w:tc>
        <w:tc>
          <w:tcPr>
            <w:tcW w:w="1269" w:type="dxa"/>
            <w:hideMark/>
          </w:tcPr>
          <w:p w:rsidR="000B1E2A" w:rsidRDefault="000B1E2A" w:rsidP="00CE34E9">
            <w:pPr>
              <w:pStyle w:val="NormalWeb"/>
              <w:jc w:val="center"/>
            </w:pPr>
            <w:r>
              <w:t>10</w:t>
            </w:r>
          </w:p>
        </w:tc>
        <w:tc>
          <w:tcPr>
            <w:tcW w:w="973" w:type="dxa"/>
            <w:hideMark/>
          </w:tcPr>
          <w:p w:rsidR="000B1E2A" w:rsidRDefault="000B1E2A" w:rsidP="00CE34E9">
            <w:pPr>
              <w:pStyle w:val="NormalWeb"/>
              <w:jc w:val="center"/>
            </w:pPr>
            <w:r>
              <w:t>0.2</w:t>
            </w:r>
          </w:p>
        </w:tc>
        <w:tc>
          <w:tcPr>
            <w:tcW w:w="1110" w:type="dxa"/>
            <w:hideMark/>
          </w:tcPr>
          <w:p w:rsidR="000B1E2A" w:rsidRDefault="000B1E2A" w:rsidP="00CE34E9">
            <w:pPr>
              <w:pStyle w:val="NormalWeb"/>
              <w:jc w:val="center"/>
            </w:pPr>
            <w:r>
              <w:t>0.5</w:t>
            </w:r>
          </w:p>
        </w:tc>
        <w:tc>
          <w:tcPr>
            <w:tcW w:w="1311" w:type="dxa"/>
            <w:hideMark/>
          </w:tcPr>
          <w:p w:rsidR="000B1E2A" w:rsidRDefault="000B1E2A" w:rsidP="00CE34E9">
            <w:pPr>
              <w:pStyle w:val="NormalWeb"/>
              <w:jc w:val="center"/>
            </w:pPr>
            <w:r>
              <w:t>0.3</w:t>
            </w:r>
          </w:p>
        </w:tc>
        <w:tc>
          <w:tcPr>
            <w:tcW w:w="992" w:type="dxa"/>
            <w:hideMark/>
          </w:tcPr>
          <w:p w:rsidR="000B1E2A" w:rsidRDefault="000B1E2A" w:rsidP="00CE34E9">
            <w:pPr>
              <w:pStyle w:val="NormalWeb"/>
              <w:jc w:val="center"/>
            </w:pPr>
            <w:r>
              <w:t>756</w:t>
            </w:r>
          </w:p>
        </w:tc>
        <w:tc>
          <w:tcPr>
            <w:tcW w:w="1134" w:type="dxa"/>
            <w:hideMark/>
          </w:tcPr>
          <w:p w:rsidR="000B1E2A" w:rsidRDefault="000B1E2A" w:rsidP="00CE34E9">
            <w:pPr>
              <w:pStyle w:val="NormalWeb"/>
              <w:jc w:val="center"/>
            </w:pPr>
            <w:r>
              <w:t>687</w:t>
            </w:r>
          </w:p>
        </w:tc>
        <w:tc>
          <w:tcPr>
            <w:tcW w:w="1414" w:type="dxa"/>
            <w:hideMark/>
          </w:tcPr>
          <w:p w:rsidR="000B1E2A" w:rsidRDefault="000B1E2A" w:rsidP="00CE34E9">
            <w:pPr>
              <w:pStyle w:val="NormalWeb"/>
              <w:jc w:val="center"/>
            </w:pPr>
            <w:r>
              <w:t>1,443</w:t>
            </w:r>
          </w:p>
        </w:tc>
        <w:tc>
          <w:tcPr>
            <w:tcW w:w="985" w:type="dxa"/>
            <w:hideMark/>
          </w:tcPr>
          <w:p w:rsidR="000B1E2A" w:rsidRDefault="000B1E2A" w:rsidP="00CE34E9">
            <w:pPr>
              <w:pStyle w:val="NormalWeb"/>
              <w:jc w:val="center"/>
            </w:pPr>
            <w:r>
              <w:t>46.2</w:t>
            </w:r>
          </w:p>
        </w:tc>
        <w:tc>
          <w:tcPr>
            <w:tcW w:w="974" w:type="dxa"/>
            <w:hideMark/>
          </w:tcPr>
          <w:p w:rsidR="000B1E2A" w:rsidRDefault="000B1E2A" w:rsidP="00CE34E9">
            <w:pPr>
              <w:pStyle w:val="NormalWeb"/>
              <w:jc w:val="center"/>
            </w:pPr>
            <w:r>
              <w:t>44.3</w:t>
            </w:r>
          </w:p>
        </w:tc>
        <w:tc>
          <w:tcPr>
            <w:tcW w:w="1561" w:type="dxa"/>
            <w:hideMark/>
          </w:tcPr>
          <w:p w:rsidR="000B1E2A" w:rsidRDefault="000B1E2A" w:rsidP="00CE34E9">
            <w:pPr>
              <w:pStyle w:val="NormalWeb"/>
              <w:jc w:val="center"/>
            </w:pPr>
            <w:r>
              <w:t>45.3</w:t>
            </w:r>
          </w:p>
        </w:tc>
      </w:tr>
      <w:tr w:rsidR="00CE34E9"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rsidR="000B1E2A" w:rsidRDefault="000B1E2A">
            <w:pPr>
              <w:pStyle w:val="NormalWeb"/>
            </w:pPr>
            <w:r>
              <w:rPr>
                <w:lang w:val="en-US"/>
              </w:rPr>
              <w:t>10 to 19</w:t>
            </w:r>
          </w:p>
        </w:tc>
        <w:tc>
          <w:tcPr>
            <w:tcW w:w="992" w:type="dxa"/>
            <w:hideMark/>
          </w:tcPr>
          <w:p w:rsidR="000B1E2A" w:rsidRDefault="000B1E2A" w:rsidP="00CE34E9">
            <w:pPr>
              <w:pStyle w:val="NormalWeb"/>
              <w:jc w:val="center"/>
            </w:pPr>
            <w:r>
              <w:t>3</w:t>
            </w:r>
          </w:p>
        </w:tc>
        <w:tc>
          <w:tcPr>
            <w:tcW w:w="993" w:type="dxa"/>
            <w:hideMark/>
          </w:tcPr>
          <w:p w:rsidR="000B1E2A" w:rsidRDefault="000B1E2A" w:rsidP="00CE34E9">
            <w:pPr>
              <w:pStyle w:val="NormalWeb"/>
              <w:jc w:val="center"/>
            </w:pPr>
            <w:r>
              <w:t>1</w:t>
            </w:r>
          </w:p>
        </w:tc>
        <w:tc>
          <w:tcPr>
            <w:tcW w:w="1269" w:type="dxa"/>
            <w:hideMark/>
          </w:tcPr>
          <w:p w:rsidR="000B1E2A" w:rsidRDefault="000B1E2A" w:rsidP="00CE34E9">
            <w:pPr>
              <w:pStyle w:val="NormalWeb"/>
              <w:jc w:val="center"/>
            </w:pPr>
            <w:r>
              <w:t>4</w:t>
            </w:r>
          </w:p>
        </w:tc>
        <w:tc>
          <w:tcPr>
            <w:tcW w:w="973" w:type="dxa"/>
            <w:hideMark/>
          </w:tcPr>
          <w:p w:rsidR="000B1E2A" w:rsidRDefault="000B1E2A" w:rsidP="00CE34E9">
            <w:pPr>
              <w:pStyle w:val="NormalWeb"/>
              <w:jc w:val="center"/>
            </w:pPr>
            <w:r>
              <w:t>0.2</w:t>
            </w:r>
          </w:p>
        </w:tc>
        <w:tc>
          <w:tcPr>
            <w:tcW w:w="1110" w:type="dxa"/>
            <w:hideMark/>
          </w:tcPr>
          <w:p w:rsidR="000B1E2A" w:rsidRDefault="000B1E2A" w:rsidP="00CE34E9">
            <w:pPr>
              <w:pStyle w:val="NormalWeb"/>
              <w:jc w:val="center"/>
            </w:pPr>
            <w:r>
              <w:t>0.1</w:t>
            </w:r>
          </w:p>
        </w:tc>
        <w:tc>
          <w:tcPr>
            <w:tcW w:w="1311" w:type="dxa"/>
            <w:hideMark/>
          </w:tcPr>
          <w:p w:rsidR="000B1E2A" w:rsidRDefault="000B1E2A" w:rsidP="00CE34E9">
            <w:pPr>
              <w:pStyle w:val="NormalWeb"/>
              <w:jc w:val="center"/>
            </w:pPr>
            <w:r>
              <w:t>0.1</w:t>
            </w:r>
          </w:p>
        </w:tc>
        <w:tc>
          <w:tcPr>
            <w:tcW w:w="992" w:type="dxa"/>
            <w:hideMark/>
          </w:tcPr>
          <w:p w:rsidR="000B1E2A" w:rsidRDefault="000B1E2A" w:rsidP="00CE34E9">
            <w:pPr>
              <w:pStyle w:val="NormalWeb"/>
              <w:jc w:val="center"/>
            </w:pPr>
            <w:r>
              <w:t>1,209</w:t>
            </w:r>
          </w:p>
        </w:tc>
        <w:tc>
          <w:tcPr>
            <w:tcW w:w="1134" w:type="dxa"/>
            <w:hideMark/>
          </w:tcPr>
          <w:p w:rsidR="000B1E2A" w:rsidRDefault="000B1E2A" w:rsidP="00CE34E9">
            <w:pPr>
              <w:pStyle w:val="NormalWeb"/>
              <w:jc w:val="center"/>
            </w:pPr>
            <w:r>
              <w:t>1,167</w:t>
            </w:r>
          </w:p>
        </w:tc>
        <w:tc>
          <w:tcPr>
            <w:tcW w:w="1414" w:type="dxa"/>
            <w:hideMark/>
          </w:tcPr>
          <w:p w:rsidR="000B1E2A" w:rsidRDefault="000B1E2A" w:rsidP="00CE34E9">
            <w:pPr>
              <w:pStyle w:val="NormalWeb"/>
              <w:jc w:val="center"/>
            </w:pPr>
            <w:r>
              <w:t>2,376</w:t>
            </w:r>
          </w:p>
        </w:tc>
        <w:tc>
          <w:tcPr>
            <w:tcW w:w="985" w:type="dxa"/>
            <w:hideMark/>
          </w:tcPr>
          <w:p w:rsidR="000B1E2A" w:rsidRDefault="000B1E2A" w:rsidP="00CE34E9">
            <w:pPr>
              <w:pStyle w:val="NormalWeb"/>
              <w:jc w:val="center"/>
            </w:pPr>
            <w:r>
              <w:t>77.0</w:t>
            </w:r>
          </w:p>
        </w:tc>
        <w:tc>
          <w:tcPr>
            <w:tcW w:w="974" w:type="dxa"/>
            <w:hideMark/>
          </w:tcPr>
          <w:p w:rsidR="000B1E2A" w:rsidRDefault="000B1E2A" w:rsidP="00CE34E9">
            <w:pPr>
              <w:pStyle w:val="NormalWeb"/>
              <w:jc w:val="center"/>
            </w:pPr>
            <w:r>
              <w:t>78.6</w:t>
            </w:r>
          </w:p>
        </w:tc>
        <w:tc>
          <w:tcPr>
            <w:tcW w:w="1561" w:type="dxa"/>
            <w:hideMark/>
          </w:tcPr>
          <w:p w:rsidR="000B1E2A" w:rsidRDefault="000B1E2A" w:rsidP="00CE34E9">
            <w:pPr>
              <w:pStyle w:val="NormalWeb"/>
              <w:jc w:val="center"/>
            </w:pPr>
            <w:r>
              <w:t>77.8</w:t>
            </w:r>
          </w:p>
        </w:tc>
      </w:tr>
      <w:tr w:rsidR="00CE34E9" w:rsidTr="00CE34E9">
        <w:tc>
          <w:tcPr>
            <w:tcW w:w="1276" w:type="dxa"/>
            <w:hideMark/>
          </w:tcPr>
          <w:p w:rsidR="000B1E2A" w:rsidRDefault="000B1E2A">
            <w:pPr>
              <w:pStyle w:val="NormalWeb"/>
            </w:pPr>
            <w:r>
              <w:rPr>
                <w:lang w:val="en-US"/>
              </w:rPr>
              <w:t>20 to 29</w:t>
            </w:r>
          </w:p>
        </w:tc>
        <w:tc>
          <w:tcPr>
            <w:tcW w:w="992" w:type="dxa"/>
            <w:hideMark/>
          </w:tcPr>
          <w:p w:rsidR="000B1E2A" w:rsidRDefault="000B1E2A" w:rsidP="00CE34E9">
            <w:pPr>
              <w:pStyle w:val="NormalWeb"/>
              <w:jc w:val="center"/>
            </w:pPr>
            <w:r>
              <w:t>9</w:t>
            </w:r>
          </w:p>
        </w:tc>
        <w:tc>
          <w:tcPr>
            <w:tcW w:w="993" w:type="dxa"/>
            <w:hideMark/>
          </w:tcPr>
          <w:p w:rsidR="000B1E2A" w:rsidRDefault="000B1E2A" w:rsidP="00CE34E9">
            <w:pPr>
              <w:pStyle w:val="NormalWeb"/>
              <w:jc w:val="center"/>
            </w:pPr>
            <w:r>
              <w:t>9</w:t>
            </w:r>
          </w:p>
        </w:tc>
        <w:tc>
          <w:tcPr>
            <w:tcW w:w="1269" w:type="dxa"/>
            <w:hideMark/>
          </w:tcPr>
          <w:p w:rsidR="000B1E2A" w:rsidRDefault="000B1E2A" w:rsidP="00CE34E9">
            <w:pPr>
              <w:pStyle w:val="NormalWeb"/>
              <w:jc w:val="center"/>
            </w:pPr>
            <w:r>
              <w:t>18</w:t>
            </w:r>
          </w:p>
        </w:tc>
        <w:tc>
          <w:tcPr>
            <w:tcW w:w="973" w:type="dxa"/>
            <w:hideMark/>
          </w:tcPr>
          <w:p w:rsidR="000B1E2A" w:rsidRDefault="000B1E2A" w:rsidP="00CE34E9">
            <w:pPr>
              <w:pStyle w:val="NormalWeb"/>
              <w:jc w:val="center"/>
            </w:pPr>
            <w:r>
              <w:t>0.5</w:t>
            </w:r>
          </w:p>
        </w:tc>
        <w:tc>
          <w:tcPr>
            <w:tcW w:w="1110" w:type="dxa"/>
            <w:hideMark/>
          </w:tcPr>
          <w:p w:rsidR="000B1E2A" w:rsidRDefault="000B1E2A" w:rsidP="00CE34E9">
            <w:pPr>
              <w:pStyle w:val="NormalWeb"/>
              <w:jc w:val="center"/>
            </w:pPr>
            <w:r>
              <w:t>0.5</w:t>
            </w:r>
          </w:p>
        </w:tc>
        <w:tc>
          <w:tcPr>
            <w:tcW w:w="1311" w:type="dxa"/>
            <w:hideMark/>
          </w:tcPr>
          <w:p w:rsidR="000B1E2A" w:rsidRDefault="000B1E2A" w:rsidP="00CE34E9">
            <w:pPr>
              <w:pStyle w:val="NormalWeb"/>
              <w:jc w:val="center"/>
            </w:pPr>
            <w:r>
              <w:t>0.5</w:t>
            </w:r>
          </w:p>
        </w:tc>
        <w:tc>
          <w:tcPr>
            <w:tcW w:w="992" w:type="dxa"/>
            <w:hideMark/>
          </w:tcPr>
          <w:p w:rsidR="000B1E2A" w:rsidRDefault="000B1E2A" w:rsidP="00CE34E9">
            <w:pPr>
              <w:pStyle w:val="NormalWeb"/>
              <w:jc w:val="center"/>
            </w:pPr>
            <w:r>
              <w:t>3,018</w:t>
            </w:r>
          </w:p>
        </w:tc>
        <w:tc>
          <w:tcPr>
            <w:tcW w:w="1134" w:type="dxa"/>
            <w:hideMark/>
          </w:tcPr>
          <w:p w:rsidR="000B1E2A" w:rsidRDefault="000B1E2A" w:rsidP="00CE34E9">
            <w:pPr>
              <w:pStyle w:val="NormalWeb"/>
              <w:jc w:val="center"/>
            </w:pPr>
            <w:r>
              <w:t>3,306</w:t>
            </w:r>
          </w:p>
        </w:tc>
        <w:tc>
          <w:tcPr>
            <w:tcW w:w="1414" w:type="dxa"/>
            <w:hideMark/>
          </w:tcPr>
          <w:p w:rsidR="000B1E2A" w:rsidRDefault="000B1E2A" w:rsidP="00CE34E9">
            <w:pPr>
              <w:pStyle w:val="NormalWeb"/>
              <w:jc w:val="center"/>
            </w:pPr>
            <w:r>
              <w:t>6,346</w:t>
            </w:r>
          </w:p>
        </w:tc>
        <w:tc>
          <w:tcPr>
            <w:tcW w:w="985" w:type="dxa"/>
            <w:hideMark/>
          </w:tcPr>
          <w:p w:rsidR="000B1E2A" w:rsidRDefault="000B1E2A" w:rsidP="00CE34E9">
            <w:pPr>
              <w:pStyle w:val="NormalWeb"/>
              <w:jc w:val="center"/>
            </w:pPr>
            <w:r>
              <w:t>162.4</w:t>
            </w:r>
          </w:p>
        </w:tc>
        <w:tc>
          <w:tcPr>
            <w:tcW w:w="974" w:type="dxa"/>
            <w:hideMark/>
          </w:tcPr>
          <w:p w:rsidR="000B1E2A" w:rsidRDefault="000B1E2A" w:rsidP="00CE34E9">
            <w:pPr>
              <w:pStyle w:val="NormalWeb"/>
              <w:jc w:val="center"/>
            </w:pPr>
            <w:r>
              <w:t>183.6</w:t>
            </w:r>
          </w:p>
        </w:tc>
        <w:tc>
          <w:tcPr>
            <w:tcW w:w="1561" w:type="dxa"/>
            <w:hideMark/>
          </w:tcPr>
          <w:p w:rsidR="000B1E2A" w:rsidRDefault="000B1E2A" w:rsidP="00CE34E9">
            <w:pPr>
              <w:pStyle w:val="NormalWeb"/>
              <w:jc w:val="center"/>
            </w:pPr>
            <w:r>
              <w:t>173.4</w:t>
            </w:r>
          </w:p>
        </w:tc>
      </w:tr>
      <w:tr w:rsidR="00CE34E9"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rsidR="000B1E2A" w:rsidRDefault="000B1E2A">
            <w:pPr>
              <w:pStyle w:val="NormalWeb"/>
            </w:pPr>
            <w:r>
              <w:rPr>
                <w:lang w:val="en-US"/>
              </w:rPr>
              <w:t>30 to 39</w:t>
            </w:r>
          </w:p>
        </w:tc>
        <w:tc>
          <w:tcPr>
            <w:tcW w:w="992" w:type="dxa"/>
            <w:hideMark/>
          </w:tcPr>
          <w:p w:rsidR="000B1E2A" w:rsidRDefault="000B1E2A" w:rsidP="00CE34E9">
            <w:pPr>
              <w:pStyle w:val="NormalWeb"/>
              <w:jc w:val="center"/>
            </w:pPr>
            <w:r>
              <w:t>20</w:t>
            </w:r>
          </w:p>
        </w:tc>
        <w:tc>
          <w:tcPr>
            <w:tcW w:w="993" w:type="dxa"/>
            <w:hideMark/>
          </w:tcPr>
          <w:p w:rsidR="000B1E2A" w:rsidRDefault="000B1E2A" w:rsidP="00CE34E9">
            <w:pPr>
              <w:pStyle w:val="NormalWeb"/>
              <w:jc w:val="center"/>
            </w:pPr>
            <w:r>
              <w:t>16</w:t>
            </w:r>
          </w:p>
        </w:tc>
        <w:tc>
          <w:tcPr>
            <w:tcW w:w="1269" w:type="dxa"/>
            <w:hideMark/>
          </w:tcPr>
          <w:p w:rsidR="000B1E2A" w:rsidRDefault="000B1E2A" w:rsidP="00CE34E9">
            <w:pPr>
              <w:pStyle w:val="NormalWeb"/>
              <w:jc w:val="center"/>
            </w:pPr>
            <w:r>
              <w:t>36</w:t>
            </w:r>
          </w:p>
        </w:tc>
        <w:tc>
          <w:tcPr>
            <w:tcW w:w="973" w:type="dxa"/>
            <w:hideMark/>
          </w:tcPr>
          <w:p w:rsidR="000B1E2A" w:rsidRDefault="000B1E2A" w:rsidP="00CE34E9">
            <w:pPr>
              <w:pStyle w:val="NormalWeb"/>
              <w:jc w:val="center"/>
            </w:pPr>
            <w:r>
              <w:t>1.1</w:t>
            </w:r>
          </w:p>
        </w:tc>
        <w:tc>
          <w:tcPr>
            <w:tcW w:w="1110" w:type="dxa"/>
            <w:hideMark/>
          </w:tcPr>
          <w:p w:rsidR="000B1E2A" w:rsidRDefault="000B1E2A" w:rsidP="00CE34E9">
            <w:pPr>
              <w:pStyle w:val="NormalWeb"/>
              <w:jc w:val="center"/>
            </w:pPr>
            <w:r>
              <w:t>0.9</w:t>
            </w:r>
          </w:p>
        </w:tc>
        <w:tc>
          <w:tcPr>
            <w:tcW w:w="1311" w:type="dxa"/>
            <w:hideMark/>
          </w:tcPr>
          <w:p w:rsidR="000B1E2A" w:rsidRDefault="000B1E2A" w:rsidP="00CE34E9">
            <w:pPr>
              <w:pStyle w:val="NormalWeb"/>
              <w:jc w:val="center"/>
            </w:pPr>
            <w:r>
              <w:t>1.0</w:t>
            </w:r>
          </w:p>
        </w:tc>
        <w:tc>
          <w:tcPr>
            <w:tcW w:w="992" w:type="dxa"/>
            <w:hideMark/>
          </w:tcPr>
          <w:p w:rsidR="000B1E2A" w:rsidRDefault="000B1E2A" w:rsidP="00CE34E9">
            <w:pPr>
              <w:pStyle w:val="NormalWeb"/>
              <w:jc w:val="center"/>
            </w:pPr>
            <w:r>
              <w:t>2,479</w:t>
            </w:r>
          </w:p>
        </w:tc>
        <w:tc>
          <w:tcPr>
            <w:tcW w:w="1134" w:type="dxa"/>
            <w:hideMark/>
          </w:tcPr>
          <w:p w:rsidR="000B1E2A" w:rsidRDefault="000B1E2A" w:rsidP="00CE34E9">
            <w:pPr>
              <w:pStyle w:val="NormalWeb"/>
              <w:jc w:val="center"/>
            </w:pPr>
            <w:r>
              <w:t>2,424</w:t>
            </w:r>
          </w:p>
        </w:tc>
        <w:tc>
          <w:tcPr>
            <w:tcW w:w="1414" w:type="dxa"/>
            <w:hideMark/>
          </w:tcPr>
          <w:p w:rsidR="000B1E2A" w:rsidRDefault="000B1E2A" w:rsidP="00CE34E9">
            <w:pPr>
              <w:pStyle w:val="NormalWeb"/>
              <w:jc w:val="center"/>
            </w:pPr>
            <w:r>
              <w:t>4,918</w:t>
            </w:r>
          </w:p>
        </w:tc>
        <w:tc>
          <w:tcPr>
            <w:tcW w:w="985" w:type="dxa"/>
            <w:hideMark/>
          </w:tcPr>
          <w:p w:rsidR="000B1E2A" w:rsidRDefault="000B1E2A" w:rsidP="00CE34E9">
            <w:pPr>
              <w:pStyle w:val="NormalWeb"/>
              <w:jc w:val="center"/>
            </w:pPr>
            <w:r>
              <w:t>136.3</w:t>
            </w:r>
          </w:p>
        </w:tc>
        <w:tc>
          <w:tcPr>
            <w:tcW w:w="974" w:type="dxa"/>
            <w:hideMark/>
          </w:tcPr>
          <w:p w:rsidR="000B1E2A" w:rsidRDefault="000B1E2A" w:rsidP="00CE34E9">
            <w:pPr>
              <w:pStyle w:val="NormalWeb"/>
              <w:jc w:val="center"/>
            </w:pPr>
            <w:r>
              <w:t>130.6</w:t>
            </w:r>
          </w:p>
        </w:tc>
        <w:tc>
          <w:tcPr>
            <w:tcW w:w="1561" w:type="dxa"/>
            <w:hideMark/>
          </w:tcPr>
          <w:p w:rsidR="000B1E2A" w:rsidRDefault="000B1E2A" w:rsidP="00CE34E9">
            <w:pPr>
              <w:pStyle w:val="NormalWeb"/>
              <w:jc w:val="center"/>
            </w:pPr>
            <w:r>
              <w:t>133.8</w:t>
            </w:r>
          </w:p>
        </w:tc>
      </w:tr>
      <w:tr w:rsidR="00CE34E9" w:rsidTr="00CE34E9">
        <w:tc>
          <w:tcPr>
            <w:tcW w:w="1276" w:type="dxa"/>
            <w:hideMark/>
          </w:tcPr>
          <w:p w:rsidR="000B1E2A" w:rsidRDefault="000B1E2A">
            <w:pPr>
              <w:pStyle w:val="NormalWeb"/>
            </w:pPr>
            <w:r>
              <w:rPr>
                <w:lang w:val="en-US"/>
              </w:rPr>
              <w:t>40 to 49</w:t>
            </w:r>
          </w:p>
        </w:tc>
        <w:tc>
          <w:tcPr>
            <w:tcW w:w="992" w:type="dxa"/>
            <w:hideMark/>
          </w:tcPr>
          <w:p w:rsidR="000B1E2A" w:rsidRDefault="000B1E2A" w:rsidP="00CE34E9">
            <w:pPr>
              <w:pStyle w:val="NormalWeb"/>
              <w:jc w:val="center"/>
            </w:pPr>
            <w:r>
              <w:t>15</w:t>
            </w:r>
          </w:p>
        </w:tc>
        <w:tc>
          <w:tcPr>
            <w:tcW w:w="993" w:type="dxa"/>
            <w:hideMark/>
          </w:tcPr>
          <w:p w:rsidR="000B1E2A" w:rsidRDefault="000B1E2A" w:rsidP="00CE34E9">
            <w:pPr>
              <w:pStyle w:val="NormalWeb"/>
              <w:jc w:val="center"/>
            </w:pPr>
            <w:r>
              <w:t>3</w:t>
            </w:r>
          </w:p>
        </w:tc>
        <w:tc>
          <w:tcPr>
            <w:tcW w:w="1269" w:type="dxa"/>
            <w:hideMark/>
          </w:tcPr>
          <w:p w:rsidR="000B1E2A" w:rsidRDefault="000B1E2A" w:rsidP="00CE34E9">
            <w:pPr>
              <w:pStyle w:val="NormalWeb"/>
              <w:jc w:val="center"/>
            </w:pPr>
            <w:r>
              <w:t>18</w:t>
            </w:r>
          </w:p>
        </w:tc>
        <w:tc>
          <w:tcPr>
            <w:tcW w:w="973" w:type="dxa"/>
            <w:hideMark/>
          </w:tcPr>
          <w:p w:rsidR="000B1E2A" w:rsidRDefault="000B1E2A" w:rsidP="00CE34E9">
            <w:pPr>
              <w:pStyle w:val="NormalWeb"/>
              <w:jc w:val="center"/>
            </w:pPr>
            <w:r>
              <w:t>0.9</w:t>
            </w:r>
          </w:p>
        </w:tc>
        <w:tc>
          <w:tcPr>
            <w:tcW w:w="1110" w:type="dxa"/>
            <w:hideMark/>
          </w:tcPr>
          <w:p w:rsidR="000B1E2A" w:rsidRDefault="000B1E2A" w:rsidP="00CE34E9">
            <w:pPr>
              <w:pStyle w:val="NormalWeb"/>
              <w:jc w:val="center"/>
            </w:pPr>
            <w:r>
              <w:t>0.2</w:t>
            </w:r>
          </w:p>
        </w:tc>
        <w:tc>
          <w:tcPr>
            <w:tcW w:w="1311" w:type="dxa"/>
            <w:hideMark/>
          </w:tcPr>
          <w:p w:rsidR="000B1E2A" w:rsidRDefault="000B1E2A" w:rsidP="00CE34E9">
            <w:pPr>
              <w:pStyle w:val="NormalWeb"/>
              <w:jc w:val="center"/>
            </w:pPr>
            <w:r>
              <w:t>0.5</w:t>
            </w:r>
          </w:p>
        </w:tc>
        <w:tc>
          <w:tcPr>
            <w:tcW w:w="992" w:type="dxa"/>
            <w:hideMark/>
          </w:tcPr>
          <w:p w:rsidR="000B1E2A" w:rsidRDefault="000B1E2A" w:rsidP="00CE34E9">
            <w:pPr>
              <w:pStyle w:val="NormalWeb"/>
              <w:jc w:val="center"/>
            </w:pPr>
            <w:r>
              <w:t>1,814</w:t>
            </w:r>
          </w:p>
        </w:tc>
        <w:tc>
          <w:tcPr>
            <w:tcW w:w="1134" w:type="dxa"/>
            <w:hideMark/>
          </w:tcPr>
          <w:p w:rsidR="000B1E2A" w:rsidRDefault="000B1E2A" w:rsidP="00CE34E9">
            <w:pPr>
              <w:pStyle w:val="NormalWeb"/>
              <w:jc w:val="center"/>
            </w:pPr>
            <w:r>
              <w:t>1,756</w:t>
            </w:r>
          </w:p>
        </w:tc>
        <w:tc>
          <w:tcPr>
            <w:tcW w:w="1414" w:type="dxa"/>
            <w:hideMark/>
          </w:tcPr>
          <w:p w:rsidR="000B1E2A" w:rsidRDefault="000B1E2A" w:rsidP="00CE34E9">
            <w:pPr>
              <w:pStyle w:val="NormalWeb"/>
              <w:jc w:val="center"/>
            </w:pPr>
            <w:r>
              <w:t>3,598</w:t>
            </w:r>
          </w:p>
        </w:tc>
        <w:tc>
          <w:tcPr>
            <w:tcW w:w="985" w:type="dxa"/>
            <w:hideMark/>
          </w:tcPr>
          <w:p w:rsidR="000B1E2A" w:rsidRDefault="000B1E2A" w:rsidP="00CE34E9">
            <w:pPr>
              <w:pStyle w:val="NormalWeb"/>
              <w:jc w:val="center"/>
            </w:pPr>
            <w:r>
              <w:t>112.1</w:t>
            </w:r>
          </w:p>
        </w:tc>
        <w:tc>
          <w:tcPr>
            <w:tcW w:w="974" w:type="dxa"/>
            <w:hideMark/>
          </w:tcPr>
          <w:p w:rsidR="000B1E2A" w:rsidRDefault="000B1E2A" w:rsidP="00CE34E9">
            <w:pPr>
              <w:pStyle w:val="NormalWeb"/>
              <w:jc w:val="center"/>
            </w:pPr>
            <w:r>
              <w:t>106.0</w:t>
            </w:r>
          </w:p>
        </w:tc>
        <w:tc>
          <w:tcPr>
            <w:tcW w:w="1561" w:type="dxa"/>
            <w:hideMark/>
          </w:tcPr>
          <w:p w:rsidR="000B1E2A" w:rsidRDefault="000B1E2A" w:rsidP="00CE34E9">
            <w:pPr>
              <w:pStyle w:val="NormalWeb"/>
              <w:jc w:val="center"/>
            </w:pPr>
            <w:r>
              <w:t>109.9</w:t>
            </w:r>
          </w:p>
        </w:tc>
      </w:tr>
      <w:tr w:rsidR="00CE34E9"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rsidR="000B1E2A" w:rsidRDefault="000B1E2A">
            <w:pPr>
              <w:pStyle w:val="NormalWeb"/>
            </w:pPr>
            <w:r>
              <w:rPr>
                <w:lang w:val="en-US"/>
              </w:rPr>
              <w:t>50 to 59</w:t>
            </w:r>
          </w:p>
        </w:tc>
        <w:tc>
          <w:tcPr>
            <w:tcW w:w="992" w:type="dxa"/>
            <w:hideMark/>
          </w:tcPr>
          <w:p w:rsidR="000B1E2A" w:rsidRDefault="000B1E2A" w:rsidP="00CE34E9">
            <w:pPr>
              <w:pStyle w:val="NormalWeb"/>
              <w:jc w:val="center"/>
            </w:pPr>
            <w:r>
              <w:t>8</w:t>
            </w:r>
          </w:p>
        </w:tc>
        <w:tc>
          <w:tcPr>
            <w:tcW w:w="993" w:type="dxa"/>
            <w:hideMark/>
          </w:tcPr>
          <w:p w:rsidR="000B1E2A" w:rsidRDefault="000B1E2A" w:rsidP="00CE34E9">
            <w:pPr>
              <w:pStyle w:val="NormalWeb"/>
              <w:jc w:val="center"/>
            </w:pPr>
            <w:r>
              <w:t>9</w:t>
            </w:r>
          </w:p>
        </w:tc>
        <w:tc>
          <w:tcPr>
            <w:tcW w:w="1269" w:type="dxa"/>
            <w:hideMark/>
          </w:tcPr>
          <w:p w:rsidR="000B1E2A" w:rsidRDefault="000B1E2A" w:rsidP="00CE34E9">
            <w:pPr>
              <w:pStyle w:val="NormalWeb"/>
              <w:jc w:val="center"/>
            </w:pPr>
            <w:r>
              <w:t>17</w:t>
            </w:r>
          </w:p>
        </w:tc>
        <w:tc>
          <w:tcPr>
            <w:tcW w:w="973" w:type="dxa"/>
            <w:hideMark/>
          </w:tcPr>
          <w:p w:rsidR="000B1E2A" w:rsidRDefault="000B1E2A" w:rsidP="00CE34E9">
            <w:pPr>
              <w:pStyle w:val="NormalWeb"/>
              <w:jc w:val="center"/>
            </w:pPr>
            <w:r>
              <w:t>0.5</w:t>
            </w:r>
          </w:p>
        </w:tc>
        <w:tc>
          <w:tcPr>
            <w:tcW w:w="1110" w:type="dxa"/>
            <w:hideMark/>
          </w:tcPr>
          <w:p w:rsidR="000B1E2A" w:rsidRDefault="000B1E2A" w:rsidP="00CE34E9">
            <w:pPr>
              <w:pStyle w:val="NormalWeb"/>
              <w:jc w:val="center"/>
            </w:pPr>
            <w:r>
              <w:t>0.6</w:t>
            </w:r>
          </w:p>
        </w:tc>
        <w:tc>
          <w:tcPr>
            <w:tcW w:w="1311" w:type="dxa"/>
            <w:hideMark/>
          </w:tcPr>
          <w:p w:rsidR="000B1E2A" w:rsidRDefault="000B1E2A" w:rsidP="00CE34E9">
            <w:pPr>
              <w:pStyle w:val="NormalWeb"/>
              <w:jc w:val="center"/>
            </w:pPr>
            <w:r>
              <w:t>0.6</w:t>
            </w:r>
          </w:p>
        </w:tc>
        <w:tc>
          <w:tcPr>
            <w:tcW w:w="992" w:type="dxa"/>
            <w:hideMark/>
          </w:tcPr>
          <w:p w:rsidR="000B1E2A" w:rsidRDefault="000B1E2A" w:rsidP="00CE34E9">
            <w:pPr>
              <w:pStyle w:val="NormalWeb"/>
              <w:jc w:val="center"/>
            </w:pPr>
            <w:r>
              <w:t>1,607</w:t>
            </w:r>
          </w:p>
        </w:tc>
        <w:tc>
          <w:tcPr>
            <w:tcW w:w="1134" w:type="dxa"/>
            <w:hideMark/>
          </w:tcPr>
          <w:p w:rsidR="000B1E2A" w:rsidRDefault="000B1E2A" w:rsidP="00CE34E9">
            <w:pPr>
              <w:pStyle w:val="NormalWeb"/>
              <w:jc w:val="center"/>
            </w:pPr>
            <w:r>
              <w:t>1,710</w:t>
            </w:r>
          </w:p>
        </w:tc>
        <w:tc>
          <w:tcPr>
            <w:tcW w:w="1414" w:type="dxa"/>
            <w:hideMark/>
          </w:tcPr>
          <w:p w:rsidR="000B1E2A" w:rsidRDefault="000B1E2A" w:rsidP="00CE34E9">
            <w:pPr>
              <w:pStyle w:val="NormalWeb"/>
              <w:jc w:val="center"/>
            </w:pPr>
            <w:r>
              <w:t>3,325</w:t>
            </w:r>
          </w:p>
        </w:tc>
        <w:tc>
          <w:tcPr>
            <w:tcW w:w="985" w:type="dxa"/>
            <w:hideMark/>
          </w:tcPr>
          <w:p w:rsidR="000B1E2A" w:rsidRDefault="000B1E2A" w:rsidP="00CE34E9">
            <w:pPr>
              <w:pStyle w:val="NormalWeb"/>
              <w:jc w:val="center"/>
            </w:pPr>
            <w:r>
              <w:t>106.6</w:t>
            </w:r>
          </w:p>
        </w:tc>
        <w:tc>
          <w:tcPr>
            <w:tcW w:w="974" w:type="dxa"/>
            <w:hideMark/>
          </w:tcPr>
          <w:p w:rsidR="000B1E2A" w:rsidRDefault="000B1E2A" w:rsidP="00CE34E9">
            <w:pPr>
              <w:pStyle w:val="NormalWeb"/>
              <w:jc w:val="center"/>
            </w:pPr>
            <w:r>
              <w:t>108.7</w:t>
            </w:r>
          </w:p>
        </w:tc>
        <w:tc>
          <w:tcPr>
            <w:tcW w:w="1561" w:type="dxa"/>
            <w:hideMark/>
          </w:tcPr>
          <w:p w:rsidR="000B1E2A" w:rsidRDefault="000B1E2A" w:rsidP="00CE34E9">
            <w:pPr>
              <w:pStyle w:val="NormalWeb"/>
              <w:jc w:val="center"/>
            </w:pPr>
            <w:r>
              <w:t>107.9</w:t>
            </w:r>
          </w:p>
        </w:tc>
      </w:tr>
      <w:tr w:rsidR="00CE34E9" w:rsidTr="00CE34E9">
        <w:tc>
          <w:tcPr>
            <w:tcW w:w="1276" w:type="dxa"/>
            <w:hideMark/>
          </w:tcPr>
          <w:p w:rsidR="000B1E2A" w:rsidRDefault="000B1E2A">
            <w:pPr>
              <w:pStyle w:val="NormalWeb"/>
            </w:pPr>
            <w:r>
              <w:rPr>
                <w:lang w:val="en-US"/>
              </w:rPr>
              <w:t>60 to 69</w:t>
            </w:r>
          </w:p>
        </w:tc>
        <w:tc>
          <w:tcPr>
            <w:tcW w:w="992" w:type="dxa"/>
            <w:hideMark/>
          </w:tcPr>
          <w:p w:rsidR="000B1E2A" w:rsidRDefault="000B1E2A" w:rsidP="00CE34E9">
            <w:pPr>
              <w:pStyle w:val="NormalWeb"/>
              <w:jc w:val="center"/>
            </w:pPr>
            <w:r>
              <w:t>0</w:t>
            </w:r>
          </w:p>
        </w:tc>
        <w:tc>
          <w:tcPr>
            <w:tcW w:w="993" w:type="dxa"/>
            <w:hideMark/>
          </w:tcPr>
          <w:p w:rsidR="000B1E2A" w:rsidRDefault="000B1E2A" w:rsidP="00CE34E9">
            <w:pPr>
              <w:pStyle w:val="NormalWeb"/>
              <w:jc w:val="center"/>
            </w:pPr>
            <w:r>
              <w:t>5</w:t>
            </w:r>
          </w:p>
        </w:tc>
        <w:tc>
          <w:tcPr>
            <w:tcW w:w="1269" w:type="dxa"/>
            <w:hideMark/>
          </w:tcPr>
          <w:p w:rsidR="000B1E2A" w:rsidRDefault="000B1E2A" w:rsidP="00CE34E9">
            <w:pPr>
              <w:pStyle w:val="NormalWeb"/>
              <w:jc w:val="center"/>
            </w:pPr>
            <w:r>
              <w:t>5</w:t>
            </w:r>
          </w:p>
        </w:tc>
        <w:tc>
          <w:tcPr>
            <w:tcW w:w="973" w:type="dxa"/>
            <w:hideMark/>
          </w:tcPr>
          <w:p w:rsidR="000B1E2A" w:rsidRDefault="000B1E2A" w:rsidP="00CE34E9">
            <w:pPr>
              <w:pStyle w:val="NormalWeb"/>
              <w:jc w:val="center"/>
            </w:pPr>
            <w:r>
              <w:t>0.0</w:t>
            </w:r>
          </w:p>
        </w:tc>
        <w:tc>
          <w:tcPr>
            <w:tcW w:w="1110" w:type="dxa"/>
            <w:hideMark/>
          </w:tcPr>
          <w:p w:rsidR="000B1E2A" w:rsidRDefault="000B1E2A" w:rsidP="00CE34E9">
            <w:pPr>
              <w:pStyle w:val="NormalWeb"/>
              <w:jc w:val="center"/>
            </w:pPr>
            <w:r>
              <w:t>0.4</w:t>
            </w:r>
          </w:p>
        </w:tc>
        <w:tc>
          <w:tcPr>
            <w:tcW w:w="1311" w:type="dxa"/>
            <w:hideMark/>
          </w:tcPr>
          <w:p w:rsidR="000B1E2A" w:rsidRDefault="000B1E2A" w:rsidP="00CE34E9">
            <w:pPr>
              <w:pStyle w:val="NormalWeb"/>
              <w:jc w:val="center"/>
            </w:pPr>
            <w:r>
              <w:t>0.2</w:t>
            </w:r>
          </w:p>
        </w:tc>
        <w:tc>
          <w:tcPr>
            <w:tcW w:w="992" w:type="dxa"/>
            <w:hideMark/>
          </w:tcPr>
          <w:p w:rsidR="000B1E2A" w:rsidRDefault="000B1E2A" w:rsidP="00CE34E9">
            <w:pPr>
              <w:pStyle w:val="NormalWeb"/>
              <w:jc w:val="center"/>
            </w:pPr>
            <w:r>
              <w:t>1,177</w:t>
            </w:r>
          </w:p>
        </w:tc>
        <w:tc>
          <w:tcPr>
            <w:tcW w:w="1134" w:type="dxa"/>
            <w:hideMark/>
          </w:tcPr>
          <w:p w:rsidR="000B1E2A" w:rsidRDefault="000B1E2A" w:rsidP="00CE34E9">
            <w:pPr>
              <w:pStyle w:val="NormalWeb"/>
              <w:jc w:val="center"/>
            </w:pPr>
            <w:r>
              <w:t>1,208</w:t>
            </w:r>
          </w:p>
        </w:tc>
        <w:tc>
          <w:tcPr>
            <w:tcW w:w="1414" w:type="dxa"/>
            <w:hideMark/>
          </w:tcPr>
          <w:p w:rsidR="000B1E2A" w:rsidRDefault="000B1E2A" w:rsidP="00CE34E9">
            <w:pPr>
              <w:pStyle w:val="NormalWeb"/>
              <w:jc w:val="center"/>
            </w:pPr>
            <w:r>
              <w:t>2,387</w:t>
            </w:r>
          </w:p>
        </w:tc>
        <w:tc>
          <w:tcPr>
            <w:tcW w:w="985" w:type="dxa"/>
            <w:hideMark/>
          </w:tcPr>
          <w:p w:rsidR="000B1E2A" w:rsidRDefault="000B1E2A" w:rsidP="00CE34E9">
            <w:pPr>
              <w:pStyle w:val="NormalWeb"/>
              <w:jc w:val="center"/>
            </w:pPr>
            <w:r>
              <w:t>92.6</w:t>
            </w:r>
          </w:p>
        </w:tc>
        <w:tc>
          <w:tcPr>
            <w:tcW w:w="974" w:type="dxa"/>
            <w:hideMark/>
          </w:tcPr>
          <w:p w:rsidR="000B1E2A" w:rsidRDefault="000B1E2A" w:rsidP="00CE34E9">
            <w:pPr>
              <w:pStyle w:val="NormalWeb"/>
              <w:jc w:val="center"/>
            </w:pPr>
            <w:r>
              <w:t>90.0</w:t>
            </w:r>
          </w:p>
        </w:tc>
        <w:tc>
          <w:tcPr>
            <w:tcW w:w="1561" w:type="dxa"/>
            <w:hideMark/>
          </w:tcPr>
          <w:p w:rsidR="000B1E2A" w:rsidRDefault="000B1E2A" w:rsidP="00CE34E9">
            <w:pPr>
              <w:pStyle w:val="NormalWeb"/>
              <w:jc w:val="center"/>
            </w:pPr>
            <w:r>
              <w:t>91.3</w:t>
            </w:r>
          </w:p>
        </w:tc>
      </w:tr>
      <w:tr w:rsidR="00CE34E9"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rsidR="000B1E2A" w:rsidRDefault="000B1E2A">
            <w:pPr>
              <w:pStyle w:val="NormalWeb"/>
            </w:pPr>
            <w:r>
              <w:rPr>
                <w:lang w:val="en-US"/>
              </w:rPr>
              <w:t>70 to 79</w:t>
            </w:r>
          </w:p>
        </w:tc>
        <w:tc>
          <w:tcPr>
            <w:tcW w:w="992" w:type="dxa"/>
            <w:hideMark/>
          </w:tcPr>
          <w:p w:rsidR="000B1E2A" w:rsidRDefault="000B1E2A" w:rsidP="00CE34E9">
            <w:pPr>
              <w:pStyle w:val="NormalWeb"/>
              <w:jc w:val="center"/>
            </w:pPr>
            <w:r>
              <w:t>0</w:t>
            </w:r>
          </w:p>
        </w:tc>
        <w:tc>
          <w:tcPr>
            <w:tcW w:w="993" w:type="dxa"/>
            <w:hideMark/>
          </w:tcPr>
          <w:p w:rsidR="000B1E2A" w:rsidRDefault="000B1E2A" w:rsidP="00CE34E9">
            <w:pPr>
              <w:pStyle w:val="NormalWeb"/>
              <w:jc w:val="center"/>
            </w:pPr>
            <w:r>
              <w:t>1</w:t>
            </w:r>
          </w:p>
        </w:tc>
        <w:tc>
          <w:tcPr>
            <w:tcW w:w="1269" w:type="dxa"/>
            <w:hideMark/>
          </w:tcPr>
          <w:p w:rsidR="000B1E2A" w:rsidRDefault="000B1E2A" w:rsidP="00CE34E9">
            <w:pPr>
              <w:pStyle w:val="NormalWeb"/>
              <w:jc w:val="center"/>
            </w:pPr>
            <w:r>
              <w:t>1</w:t>
            </w:r>
          </w:p>
        </w:tc>
        <w:tc>
          <w:tcPr>
            <w:tcW w:w="973" w:type="dxa"/>
            <w:hideMark/>
          </w:tcPr>
          <w:p w:rsidR="000B1E2A" w:rsidRDefault="000B1E2A" w:rsidP="00CE34E9">
            <w:pPr>
              <w:pStyle w:val="NormalWeb"/>
              <w:jc w:val="center"/>
            </w:pPr>
            <w:r>
              <w:t>0.0</w:t>
            </w:r>
          </w:p>
        </w:tc>
        <w:tc>
          <w:tcPr>
            <w:tcW w:w="1110" w:type="dxa"/>
            <w:hideMark/>
          </w:tcPr>
          <w:p w:rsidR="000B1E2A" w:rsidRDefault="000B1E2A" w:rsidP="00CE34E9">
            <w:pPr>
              <w:pStyle w:val="NormalWeb"/>
              <w:jc w:val="center"/>
            </w:pPr>
            <w:r>
              <w:t>0.1</w:t>
            </w:r>
          </w:p>
        </w:tc>
        <w:tc>
          <w:tcPr>
            <w:tcW w:w="1311" w:type="dxa"/>
            <w:hideMark/>
          </w:tcPr>
          <w:p w:rsidR="000B1E2A" w:rsidRDefault="000B1E2A" w:rsidP="00CE34E9">
            <w:pPr>
              <w:pStyle w:val="NormalWeb"/>
              <w:jc w:val="center"/>
            </w:pPr>
            <w:r>
              <w:t>0.1</w:t>
            </w:r>
          </w:p>
        </w:tc>
        <w:tc>
          <w:tcPr>
            <w:tcW w:w="992" w:type="dxa"/>
            <w:hideMark/>
          </w:tcPr>
          <w:p w:rsidR="000B1E2A" w:rsidRDefault="000B1E2A" w:rsidP="00CE34E9">
            <w:pPr>
              <w:pStyle w:val="NormalWeb"/>
              <w:jc w:val="center"/>
            </w:pPr>
            <w:r>
              <w:t>851</w:t>
            </w:r>
          </w:p>
        </w:tc>
        <w:tc>
          <w:tcPr>
            <w:tcW w:w="1134" w:type="dxa"/>
            <w:hideMark/>
          </w:tcPr>
          <w:p w:rsidR="000B1E2A" w:rsidRDefault="000B1E2A" w:rsidP="00CE34E9">
            <w:pPr>
              <w:pStyle w:val="NormalWeb"/>
              <w:jc w:val="center"/>
            </w:pPr>
            <w:r>
              <w:t>754</w:t>
            </w:r>
          </w:p>
        </w:tc>
        <w:tc>
          <w:tcPr>
            <w:tcW w:w="1414" w:type="dxa"/>
            <w:hideMark/>
          </w:tcPr>
          <w:p w:rsidR="000B1E2A" w:rsidRDefault="000B1E2A" w:rsidP="00CE34E9">
            <w:pPr>
              <w:pStyle w:val="NormalWeb"/>
              <w:jc w:val="center"/>
            </w:pPr>
            <w:r>
              <w:t>1,605</w:t>
            </w:r>
          </w:p>
        </w:tc>
        <w:tc>
          <w:tcPr>
            <w:tcW w:w="985" w:type="dxa"/>
            <w:hideMark/>
          </w:tcPr>
          <w:p w:rsidR="000B1E2A" w:rsidRDefault="000B1E2A" w:rsidP="00CE34E9">
            <w:pPr>
              <w:pStyle w:val="NormalWeb"/>
              <w:jc w:val="center"/>
            </w:pPr>
            <w:r>
              <w:t>97.8</w:t>
            </w:r>
          </w:p>
        </w:tc>
        <w:tc>
          <w:tcPr>
            <w:tcW w:w="974" w:type="dxa"/>
            <w:hideMark/>
          </w:tcPr>
          <w:p w:rsidR="000B1E2A" w:rsidRDefault="000B1E2A" w:rsidP="00CE34E9">
            <w:pPr>
              <w:pStyle w:val="NormalWeb"/>
              <w:jc w:val="center"/>
            </w:pPr>
            <w:r>
              <w:t>81.8</w:t>
            </w:r>
          </w:p>
        </w:tc>
        <w:tc>
          <w:tcPr>
            <w:tcW w:w="1561" w:type="dxa"/>
            <w:hideMark/>
          </w:tcPr>
          <w:p w:rsidR="000B1E2A" w:rsidRDefault="000B1E2A" w:rsidP="00CE34E9">
            <w:pPr>
              <w:pStyle w:val="NormalWeb"/>
              <w:jc w:val="center"/>
            </w:pPr>
            <w:r>
              <w:t>89.6</w:t>
            </w:r>
          </w:p>
        </w:tc>
      </w:tr>
      <w:tr w:rsidR="00CE34E9" w:rsidTr="00CE34E9">
        <w:tc>
          <w:tcPr>
            <w:tcW w:w="1276" w:type="dxa"/>
            <w:hideMark/>
          </w:tcPr>
          <w:p w:rsidR="000B1E2A" w:rsidRDefault="000B1E2A">
            <w:pPr>
              <w:pStyle w:val="NormalWeb"/>
            </w:pPr>
            <w:r>
              <w:rPr>
                <w:lang w:val="en-US"/>
              </w:rPr>
              <w:t>80 to 89</w:t>
            </w:r>
          </w:p>
        </w:tc>
        <w:tc>
          <w:tcPr>
            <w:tcW w:w="992" w:type="dxa"/>
            <w:hideMark/>
          </w:tcPr>
          <w:p w:rsidR="000B1E2A" w:rsidRDefault="000B1E2A" w:rsidP="00CE34E9">
            <w:pPr>
              <w:pStyle w:val="NormalWeb"/>
              <w:jc w:val="center"/>
            </w:pPr>
            <w:r>
              <w:t>0</w:t>
            </w:r>
          </w:p>
        </w:tc>
        <w:tc>
          <w:tcPr>
            <w:tcW w:w="993" w:type="dxa"/>
            <w:hideMark/>
          </w:tcPr>
          <w:p w:rsidR="000B1E2A" w:rsidRDefault="000B1E2A" w:rsidP="00CE34E9">
            <w:pPr>
              <w:pStyle w:val="NormalWeb"/>
              <w:jc w:val="center"/>
            </w:pPr>
            <w:r>
              <w:t>0</w:t>
            </w:r>
          </w:p>
        </w:tc>
        <w:tc>
          <w:tcPr>
            <w:tcW w:w="1269" w:type="dxa"/>
            <w:hideMark/>
          </w:tcPr>
          <w:p w:rsidR="000B1E2A" w:rsidRDefault="000B1E2A" w:rsidP="00CE34E9">
            <w:pPr>
              <w:pStyle w:val="NormalWeb"/>
              <w:jc w:val="center"/>
            </w:pPr>
            <w:r>
              <w:t>0</w:t>
            </w:r>
          </w:p>
        </w:tc>
        <w:tc>
          <w:tcPr>
            <w:tcW w:w="973" w:type="dxa"/>
            <w:hideMark/>
          </w:tcPr>
          <w:p w:rsidR="000B1E2A" w:rsidRDefault="000B1E2A" w:rsidP="00CE34E9">
            <w:pPr>
              <w:pStyle w:val="NormalWeb"/>
              <w:jc w:val="center"/>
            </w:pPr>
            <w:r>
              <w:t>0.0</w:t>
            </w:r>
          </w:p>
        </w:tc>
        <w:tc>
          <w:tcPr>
            <w:tcW w:w="1110" w:type="dxa"/>
            <w:hideMark/>
          </w:tcPr>
          <w:p w:rsidR="000B1E2A" w:rsidRDefault="000B1E2A" w:rsidP="00CE34E9">
            <w:pPr>
              <w:pStyle w:val="NormalWeb"/>
              <w:jc w:val="center"/>
            </w:pPr>
            <w:r>
              <w:t>0.0</w:t>
            </w:r>
          </w:p>
        </w:tc>
        <w:tc>
          <w:tcPr>
            <w:tcW w:w="1311" w:type="dxa"/>
            <w:hideMark/>
          </w:tcPr>
          <w:p w:rsidR="000B1E2A" w:rsidRDefault="000B1E2A" w:rsidP="00CE34E9">
            <w:pPr>
              <w:pStyle w:val="NormalWeb"/>
              <w:jc w:val="center"/>
            </w:pPr>
            <w:r>
              <w:t>0.0</w:t>
            </w:r>
          </w:p>
        </w:tc>
        <w:tc>
          <w:tcPr>
            <w:tcW w:w="992" w:type="dxa"/>
            <w:hideMark/>
          </w:tcPr>
          <w:p w:rsidR="000B1E2A" w:rsidRDefault="000B1E2A" w:rsidP="00CE34E9">
            <w:pPr>
              <w:pStyle w:val="NormalWeb"/>
              <w:jc w:val="center"/>
            </w:pPr>
            <w:r>
              <w:t>492</w:t>
            </w:r>
          </w:p>
        </w:tc>
        <w:tc>
          <w:tcPr>
            <w:tcW w:w="1134" w:type="dxa"/>
            <w:hideMark/>
          </w:tcPr>
          <w:p w:rsidR="000B1E2A" w:rsidRDefault="000B1E2A" w:rsidP="00CE34E9">
            <w:pPr>
              <w:pStyle w:val="NormalWeb"/>
              <w:jc w:val="center"/>
            </w:pPr>
            <w:r>
              <w:t>777</w:t>
            </w:r>
          </w:p>
        </w:tc>
        <w:tc>
          <w:tcPr>
            <w:tcW w:w="1414" w:type="dxa"/>
            <w:hideMark/>
          </w:tcPr>
          <w:p w:rsidR="000B1E2A" w:rsidRDefault="000B1E2A" w:rsidP="00CE34E9">
            <w:pPr>
              <w:pStyle w:val="NormalWeb"/>
              <w:jc w:val="center"/>
            </w:pPr>
            <w:r>
              <w:t>1,269</w:t>
            </w:r>
          </w:p>
        </w:tc>
        <w:tc>
          <w:tcPr>
            <w:tcW w:w="985" w:type="dxa"/>
            <w:hideMark/>
          </w:tcPr>
          <w:p w:rsidR="000B1E2A" w:rsidRDefault="000B1E2A" w:rsidP="00CE34E9">
            <w:pPr>
              <w:pStyle w:val="NormalWeb"/>
              <w:jc w:val="center"/>
            </w:pPr>
            <w:r>
              <w:t>137.7</w:t>
            </w:r>
          </w:p>
        </w:tc>
        <w:tc>
          <w:tcPr>
            <w:tcW w:w="974" w:type="dxa"/>
            <w:hideMark/>
          </w:tcPr>
          <w:p w:rsidR="000B1E2A" w:rsidRDefault="000B1E2A" w:rsidP="00CE34E9">
            <w:pPr>
              <w:pStyle w:val="NormalWeb"/>
              <w:jc w:val="center"/>
            </w:pPr>
            <w:r>
              <w:t>168.5</w:t>
            </w:r>
          </w:p>
        </w:tc>
        <w:tc>
          <w:tcPr>
            <w:tcW w:w="1561" w:type="dxa"/>
            <w:hideMark/>
          </w:tcPr>
          <w:p w:rsidR="000B1E2A" w:rsidRDefault="000B1E2A" w:rsidP="00CE34E9">
            <w:pPr>
              <w:pStyle w:val="NormalWeb"/>
              <w:jc w:val="center"/>
            </w:pPr>
            <w:r>
              <w:t>155.0</w:t>
            </w:r>
          </w:p>
        </w:tc>
      </w:tr>
      <w:tr w:rsidR="00CE34E9" w:rsidTr="00CE34E9">
        <w:trPr>
          <w:cnfStyle w:val="000000010000" w:firstRow="0" w:lastRow="0" w:firstColumn="0" w:lastColumn="0" w:oddVBand="0" w:evenVBand="0" w:oddHBand="0" w:evenHBand="1" w:firstRowFirstColumn="0" w:firstRowLastColumn="0" w:lastRowFirstColumn="0" w:lastRowLastColumn="0"/>
        </w:trPr>
        <w:tc>
          <w:tcPr>
            <w:tcW w:w="1276" w:type="dxa"/>
            <w:hideMark/>
          </w:tcPr>
          <w:p w:rsidR="000B1E2A" w:rsidRDefault="000B1E2A">
            <w:pPr>
              <w:pStyle w:val="NormalWeb"/>
            </w:pPr>
            <w:r>
              <w:rPr>
                <w:lang w:val="en-US"/>
              </w:rPr>
              <w:t>90 and over</w:t>
            </w:r>
          </w:p>
        </w:tc>
        <w:tc>
          <w:tcPr>
            <w:tcW w:w="992" w:type="dxa"/>
            <w:hideMark/>
          </w:tcPr>
          <w:p w:rsidR="000B1E2A" w:rsidRDefault="000B1E2A" w:rsidP="00CE34E9">
            <w:pPr>
              <w:pStyle w:val="NormalWeb"/>
              <w:jc w:val="center"/>
            </w:pPr>
            <w:r>
              <w:t>0</w:t>
            </w:r>
          </w:p>
        </w:tc>
        <w:tc>
          <w:tcPr>
            <w:tcW w:w="993" w:type="dxa"/>
            <w:hideMark/>
          </w:tcPr>
          <w:p w:rsidR="000B1E2A" w:rsidRDefault="000B1E2A" w:rsidP="00CE34E9">
            <w:pPr>
              <w:pStyle w:val="NormalWeb"/>
              <w:jc w:val="center"/>
            </w:pPr>
            <w:r>
              <w:t>0</w:t>
            </w:r>
          </w:p>
        </w:tc>
        <w:tc>
          <w:tcPr>
            <w:tcW w:w="1269" w:type="dxa"/>
            <w:hideMark/>
          </w:tcPr>
          <w:p w:rsidR="000B1E2A" w:rsidRDefault="000B1E2A" w:rsidP="00CE34E9">
            <w:pPr>
              <w:pStyle w:val="NormalWeb"/>
              <w:jc w:val="center"/>
            </w:pPr>
            <w:r>
              <w:t>0</w:t>
            </w:r>
          </w:p>
        </w:tc>
        <w:tc>
          <w:tcPr>
            <w:tcW w:w="973" w:type="dxa"/>
            <w:hideMark/>
          </w:tcPr>
          <w:p w:rsidR="000B1E2A" w:rsidRDefault="000B1E2A" w:rsidP="00CE34E9">
            <w:pPr>
              <w:pStyle w:val="NormalWeb"/>
              <w:jc w:val="center"/>
            </w:pPr>
            <w:r>
              <w:t>0.0</w:t>
            </w:r>
          </w:p>
        </w:tc>
        <w:tc>
          <w:tcPr>
            <w:tcW w:w="1110" w:type="dxa"/>
            <w:hideMark/>
          </w:tcPr>
          <w:p w:rsidR="000B1E2A" w:rsidRDefault="000B1E2A" w:rsidP="00CE34E9">
            <w:pPr>
              <w:pStyle w:val="NormalWeb"/>
              <w:jc w:val="center"/>
            </w:pPr>
            <w:r>
              <w:t>0.0</w:t>
            </w:r>
          </w:p>
        </w:tc>
        <w:tc>
          <w:tcPr>
            <w:tcW w:w="1311" w:type="dxa"/>
            <w:hideMark/>
          </w:tcPr>
          <w:p w:rsidR="000B1E2A" w:rsidRDefault="000B1E2A" w:rsidP="00CE34E9">
            <w:pPr>
              <w:pStyle w:val="NormalWeb"/>
              <w:jc w:val="center"/>
            </w:pPr>
            <w:r>
              <w:t>0.0</w:t>
            </w:r>
          </w:p>
        </w:tc>
        <w:tc>
          <w:tcPr>
            <w:tcW w:w="992" w:type="dxa"/>
            <w:hideMark/>
          </w:tcPr>
          <w:p w:rsidR="000B1E2A" w:rsidRDefault="000B1E2A" w:rsidP="00CE34E9">
            <w:pPr>
              <w:pStyle w:val="NormalWeb"/>
              <w:jc w:val="center"/>
            </w:pPr>
            <w:r>
              <w:t>229</w:t>
            </w:r>
          </w:p>
        </w:tc>
        <w:tc>
          <w:tcPr>
            <w:tcW w:w="1134" w:type="dxa"/>
            <w:hideMark/>
          </w:tcPr>
          <w:p w:rsidR="000B1E2A" w:rsidRDefault="000B1E2A" w:rsidP="00CE34E9">
            <w:pPr>
              <w:pStyle w:val="NormalWeb"/>
              <w:jc w:val="center"/>
            </w:pPr>
            <w:r>
              <w:t>552</w:t>
            </w:r>
          </w:p>
        </w:tc>
        <w:tc>
          <w:tcPr>
            <w:tcW w:w="1414" w:type="dxa"/>
            <w:hideMark/>
          </w:tcPr>
          <w:p w:rsidR="000B1E2A" w:rsidRDefault="000B1E2A" w:rsidP="00CE34E9">
            <w:pPr>
              <w:pStyle w:val="NormalWeb"/>
              <w:jc w:val="center"/>
            </w:pPr>
            <w:r>
              <w:t>782</w:t>
            </w:r>
          </w:p>
        </w:tc>
        <w:tc>
          <w:tcPr>
            <w:tcW w:w="985" w:type="dxa"/>
            <w:hideMark/>
          </w:tcPr>
          <w:p w:rsidR="000B1E2A" w:rsidRDefault="000B1E2A" w:rsidP="00CE34E9">
            <w:pPr>
              <w:pStyle w:val="NormalWeb"/>
              <w:jc w:val="center"/>
            </w:pPr>
            <w:r>
              <w:t>333.7</w:t>
            </w:r>
          </w:p>
        </w:tc>
        <w:tc>
          <w:tcPr>
            <w:tcW w:w="974" w:type="dxa"/>
            <w:hideMark/>
          </w:tcPr>
          <w:p w:rsidR="000B1E2A" w:rsidRDefault="000B1E2A" w:rsidP="00CE34E9">
            <w:pPr>
              <w:pStyle w:val="NormalWeb"/>
              <w:jc w:val="center"/>
            </w:pPr>
            <w:r>
              <w:t>413.3</w:t>
            </w:r>
          </w:p>
        </w:tc>
        <w:tc>
          <w:tcPr>
            <w:tcW w:w="1561" w:type="dxa"/>
            <w:hideMark/>
          </w:tcPr>
          <w:p w:rsidR="000B1E2A" w:rsidRDefault="000B1E2A" w:rsidP="00CE34E9">
            <w:pPr>
              <w:pStyle w:val="NormalWeb"/>
              <w:jc w:val="center"/>
            </w:pPr>
            <w:r>
              <w:rPr>
                <w:lang w:val="en-US"/>
              </w:rPr>
              <w:t>386.8</w:t>
            </w:r>
          </w:p>
        </w:tc>
      </w:tr>
    </w:tbl>
    <w:p w:rsidR="00B70F1C" w:rsidRDefault="00B70F1C">
      <w:pPr>
        <w:pStyle w:val="Heading1"/>
        <w:rPr>
          <w:rFonts w:eastAsia="Times New Roman"/>
        </w:rPr>
        <w:sectPr w:rsidR="00B70F1C" w:rsidSect="00B70F1C">
          <w:pgSz w:w="16838" w:h="11906" w:orient="landscape"/>
          <w:pgMar w:top="720" w:right="720" w:bottom="720" w:left="1134" w:header="709" w:footer="284" w:gutter="0"/>
          <w:cols w:space="708"/>
          <w:titlePg/>
          <w:docGrid w:linePitch="360"/>
        </w:sectPr>
      </w:pPr>
    </w:p>
    <w:p w:rsidR="000B1E2A" w:rsidRDefault="000B1E2A">
      <w:pPr>
        <w:pStyle w:val="Heading1"/>
        <w:rPr>
          <w:rFonts w:eastAsia="Times New Roman"/>
        </w:rPr>
      </w:pPr>
      <w:r>
        <w:rPr>
          <w:rFonts w:eastAsia="Times New Roman"/>
        </w:rPr>
        <w:lastRenderedPageBreak/>
        <w:t>Appendix B: Frequently asked questions</w:t>
      </w:r>
    </w:p>
    <w:p w:rsidR="000B1E2A" w:rsidRDefault="000B1E2A" w:rsidP="00267848">
      <w:r>
        <w:rPr>
          <w:rStyle w:val="Strong"/>
        </w:rPr>
        <w:t xml:space="preserve">Q: Can I request access to the COVID-19 data behind your CDI fortnightly reports? </w:t>
      </w:r>
    </w:p>
    <w:p w:rsidR="000B1E2A" w:rsidRDefault="000B1E2A" w:rsidP="00267848">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0B1E2A" w:rsidRDefault="000B1E2A" w:rsidP="00267848">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rsidR="000B1E2A" w:rsidRDefault="000B1E2A" w:rsidP="00267848">
      <w:r>
        <w:t xml:space="preserve">Due to the COVID-19 response, unfortunately, specific requests for NNDSS data have been put on hold. We are currently looking into options to be able to respond to data requests in the near future. </w:t>
      </w:r>
    </w:p>
    <w:p w:rsidR="000B1E2A" w:rsidRDefault="000B1E2A" w:rsidP="00267848">
      <w:r>
        <w:t xml:space="preserve">We will continue to publish regular summaries and analyses of the NNDSS dataset and recommend the following resources be referred to in the meantime: </w:t>
      </w:r>
    </w:p>
    <w:p w:rsidR="000B1E2A" w:rsidRPr="00267848" w:rsidRDefault="000B1E2A" w:rsidP="00267848">
      <w:pPr>
        <w:pStyle w:val="ListParagraph"/>
        <w:numPr>
          <w:ilvl w:val="0"/>
          <w:numId w:val="19"/>
        </w:numPr>
        <w:rPr>
          <w:rFonts w:eastAsia="Times New Roman"/>
        </w:rPr>
      </w:pPr>
      <w:r w:rsidRPr="00267848">
        <w:rPr>
          <w:rFonts w:eastAsia="Times New Roman"/>
        </w:rPr>
        <w:t xml:space="preserve">NNDSS summary tables: http://www9.health.gov.au/cda/source/cda-index.cfm </w:t>
      </w:r>
    </w:p>
    <w:p w:rsidR="000B1E2A" w:rsidRPr="00267848" w:rsidRDefault="000B1E2A" w:rsidP="00267848">
      <w:pPr>
        <w:pStyle w:val="ListParagraph"/>
        <w:numPr>
          <w:ilvl w:val="0"/>
          <w:numId w:val="19"/>
        </w:numPr>
        <w:rPr>
          <w:rFonts w:eastAsia="Times New Roman"/>
        </w:rPr>
      </w:pPr>
      <w:r w:rsidRPr="00267848">
        <w:rPr>
          <w:rFonts w:eastAsia="Times New Roman"/>
        </w:rPr>
        <w:t xml:space="preserve">Daily case summary of cases: https://www.health.gov.au/news/health-alerts/novel-coronavirus-2019-ncov-health-alert/coronavirus-covid-19-current-situation-and-case-numbers </w:t>
      </w:r>
    </w:p>
    <w:p w:rsidR="000B1E2A" w:rsidRPr="00267848" w:rsidRDefault="000B1E2A" w:rsidP="00267848">
      <w:pPr>
        <w:pStyle w:val="ListParagraph"/>
        <w:numPr>
          <w:ilvl w:val="0"/>
          <w:numId w:val="19"/>
        </w:numPr>
        <w:rPr>
          <w:rFonts w:eastAsia="Times New Roman"/>
        </w:rPr>
      </w:pPr>
      <w:r w:rsidRPr="00267848">
        <w:rPr>
          <w:rStyle w:val="Emphasis"/>
          <w:rFonts w:eastAsia="Times New Roman"/>
          <w:b w:val="0"/>
        </w:rPr>
        <w:t>Communicable Diseases Intelligence</w:t>
      </w:r>
      <w:r w:rsidRPr="00267848">
        <w:rPr>
          <w:rFonts w:eastAsia="Times New Roman"/>
        </w:rPr>
        <w:t xml:space="preserve"> COVID-19 epidemiology report: https://www1.health.gov.au/internet/main/publishing.nsf/Content/novel_coronavirus_2019_ncov_weekly_epidemiology_reports_australia_2020.htm </w:t>
      </w:r>
    </w:p>
    <w:p w:rsidR="000B1E2A" w:rsidRPr="00267848" w:rsidRDefault="000B1E2A" w:rsidP="00267848">
      <w:pPr>
        <w:pStyle w:val="ListParagraph"/>
        <w:numPr>
          <w:ilvl w:val="0"/>
          <w:numId w:val="19"/>
        </w:numPr>
        <w:rPr>
          <w:rFonts w:eastAsia="Times New Roman"/>
        </w:rPr>
      </w:pPr>
      <w:r w:rsidRPr="00267848">
        <w:rPr>
          <w:rFonts w:eastAsia="Times New Roman"/>
        </w:rPr>
        <w:t xml:space="preserve">State and territory public health websites. </w:t>
      </w:r>
    </w:p>
    <w:p w:rsidR="000B1E2A" w:rsidRDefault="000B1E2A" w:rsidP="00267848">
      <w:r>
        <w:rPr>
          <w:rStyle w:val="Strong"/>
        </w:rPr>
        <w:t xml:space="preserve">Q: Can I request access to data at postcode level of confirmed cases? </w:t>
      </w:r>
    </w:p>
    <w:p w:rsidR="000B1E2A" w:rsidRDefault="000B1E2A" w:rsidP="00267848">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0B1E2A" w:rsidRDefault="000B1E2A" w:rsidP="00267848">
      <w:r>
        <w:t xml:space="preserve">Where current or recent reported case numbers are high enough to justify it, a GIS/mapping analysis of cases will be included in the </w:t>
      </w:r>
      <w:r w:rsidRPr="00012838">
        <w:rPr>
          <w:rStyle w:val="Emphasis"/>
          <w:b w:val="0"/>
        </w:rPr>
        <w:t>Communicable Diseases Intelligence</w:t>
      </w:r>
      <w:r>
        <w:t xml:space="preserve"> COVID-19 epidemiology report. In order to protect privacy of confirmed cases, data in this map will be presented at SA3 level. </w:t>
      </w:r>
    </w:p>
    <w:p w:rsidR="000B1E2A" w:rsidRDefault="000B1E2A" w:rsidP="00267848">
      <w:r>
        <w:rPr>
          <w:rStyle w:val="Strong"/>
        </w:rPr>
        <w:t xml:space="preserve">Q: Where can I find more detailed data on COVID-19 cases? </w:t>
      </w:r>
    </w:p>
    <w:p w:rsidR="000B1E2A" w:rsidRDefault="000B1E2A" w:rsidP="00267848">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012838">
        <w:rPr>
          <w:rStyle w:val="Emphasis"/>
          <w:b w:val="0"/>
        </w:rPr>
        <w:t>Communicable Diseases Intelligence</w:t>
      </w:r>
      <w:r>
        <w:t xml:space="preserve"> report. </w:t>
      </w:r>
    </w:p>
    <w:p w:rsidR="000B1E2A" w:rsidRDefault="000B1E2A" w:rsidP="00267848">
      <w:r>
        <w:rPr>
          <w:rStyle w:val="Strong"/>
        </w:rPr>
        <w:t xml:space="preserve">Q: Where do I find the COVID-19 background information which was included as Appendix A in previous fortnightly epidemiology reports? </w:t>
      </w:r>
    </w:p>
    <w:p w:rsidR="000B1E2A" w:rsidRDefault="000B1E2A" w:rsidP="00267848">
      <w:r>
        <w:t>A: This information was most recently published in Epidemiology Report 24 (https://doi.org/10.33321/cdi.2020.44.75). Additional information can be found in the CDNA Series of National Guidelines (SoNG) for COVID-19. (https://www1.health.gov.au/internet/main/publishing.nsf/Content/cdna-song-novel-coronavirus.htm).</w:t>
      </w:r>
    </w:p>
    <w:p w:rsidR="008B5348" w:rsidRDefault="008B5348">
      <w:pPr>
        <w:rPr>
          <w:rStyle w:val="A10"/>
        </w:rPr>
        <w:sectPr w:rsidR="008B5348" w:rsidSect="00A30C37">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1"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2"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3"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4"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5"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6"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7"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8"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9"/>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0E7" w:rsidRDefault="00D820E7" w:rsidP="00E54DBA">
      <w:r>
        <w:separator/>
      </w:r>
    </w:p>
    <w:p w:rsidR="00D820E7" w:rsidRDefault="00D820E7"/>
    <w:p w:rsidR="00D820E7" w:rsidRDefault="00D820E7" w:rsidP="008714B0"/>
  </w:endnote>
  <w:endnote w:type="continuationSeparator" w:id="0">
    <w:p w:rsidR="00D820E7" w:rsidRDefault="00D820E7" w:rsidP="00E54DBA">
      <w:r>
        <w:continuationSeparator/>
      </w:r>
    </w:p>
    <w:p w:rsidR="00D820E7" w:rsidRDefault="00D820E7"/>
    <w:p w:rsidR="00D820E7" w:rsidRDefault="00D820E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ConceptRoman-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562AB">
      <w:rPr>
        <w:noProof/>
        <w:sz w:val="18"/>
      </w:rPr>
      <w:t>8</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B562AB">
      <w:rPr>
        <w:noProof/>
        <w:sz w:val="18"/>
      </w:rPr>
      <w:t>26</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r w:rsidR="00CE342B" w:rsidRPr="00012838">
      <w:rPr>
        <w:i/>
        <w:sz w:val="18"/>
      </w:rPr>
      <w:t>Commun Dis Intell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D820E7">
      <w:rPr>
        <w:sz w:val="18"/>
      </w:rPr>
      <w:t>2020</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D820E7">
      <w:rPr>
        <w:sz w:val="18"/>
      </w:rPr>
      <w:t>44</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335096">
      <w:rPr>
        <w:sz w:val="18"/>
      </w:rPr>
      <w:t>https://doi.org/10.33321/cdi.2020.44.92</w:t>
    </w:r>
    <w:r w:rsidR="00CE342B">
      <w:rPr>
        <w:sz w:val="18"/>
      </w:rPr>
      <w:fldChar w:fldCharType="end"/>
    </w:r>
    <w:r w:rsidR="00231046">
      <w:rPr>
        <w:sz w:val="18"/>
      </w:rPr>
      <w:t xml:space="preserve"> </w:t>
    </w:r>
    <w:r w:rsidR="00231046" w:rsidRPr="00155582">
      <w:rPr>
        <w:sz w:val="18"/>
      </w:rPr>
      <w:t>Epub</w:t>
    </w:r>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CA0749">
      <w:rPr>
        <w:sz w:val="18"/>
      </w:rPr>
      <w:t>16/12/2020</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B562AB">
      <w:rPr>
        <w:noProof/>
        <w:sz w:val="18"/>
      </w:rPr>
      <w:t>16</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B562AB">
      <w:rPr>
        <w:noProof/>
        <w:sz w:val="18"/>
      </w:rPr>
      <w:t>26</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00A164D5" w:rsidRPr="00012838">
      <w:rPr>
        <w:i/>
        <w:sz w:val="18"/>
      </w:rPr>
      <w:t>Commun Dis Intell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D820E7">
      <w:rPr>
        <w:sz w:val="18"/>
      </w:rPr>
      <w:t>2020</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D820E7">
      <w:rPr>
        <w:sz w:val="18"/>
      </w:rPr>
      <w:t>44</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335096">
      <w:rPr>
        <w:sz w:val="18"/>
      </w:rPr>
      <w:t>https://doi.org/10.33321/cdi.2020.44.92</w:t>
    </w:r>
    <w:r w:rsidR="00047B68">
      <w:rPr>
        <w:sz w:val="18"/>
      </w:rPr>
      <w:fldChar w:fldCharType="end"/>
    </w:r>
    <w:r w:rsidR="00C24725">
      <w:rPr>
        <w:sz w:val="18"/>
      </w:rPr>
      <w:t xml:space="preserve"> </w:t>
    </w:r>
    <w:r w:rsidRPr="00155582">
      <w:rPr>
        <w:sz w:val="18"/>
      </w:rPr>
      <w:t xml:space="preserve">Epub </w:t>
    </w:r>
    <w:r w:rsidR="00422FEB">
      <w:rPr>
        <w:sz w:val="18"/>
      </w:rPr>
      <w:fldChar w:fldCharType="begin"/>
    </w:r>
    <w:r w:rsidR="00422FEB">
      <w:rPr>
        <w:sz w:val="18"/>
      </w:rPr>
      <w:instrText xml:space="preserve"> DOCPROPERTY  ePubDate  \* MERGEFORMAT </w:instrText>
    </w:r>
    <w:r w:rsidR="00422FEB">
      <w:rPr>
        <w:sz w:val="18"/>
      </w:rPr>
      <w:fldChar w:fldCharType="separate"/>
    </w:r>
    <w:r w:rsidR="00CA0749">
      <w:rPr>
        <w:sz w:val="18"/>
      </w:rPr>
      <w:t>16/12/2020</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0E7" w:rsidRDefault="00D820E7" w:rsidP="00E54DBA">
      <w:r>
        <w:separator/>
      </w:r>
    </w:p>
  </w:footnote>
  <w:footnote w:type="continuationSeparator" w:id="0">
    <w:p w:rsidR="00D820E7" w:rsidRDefault="00D820E7" w:rsidP="00E54DBA">
      <w:r>
        <w:continuationSeparator/>
      </w:r>
    </w:p>
  </w:footnote>
  <w:footnote w:type="continuationNotice" w:id="1">
    <w:p w:rsidR="00D820E7" w:rsidRPr="00224EFF" w:rsidRDefault="00D820E7"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484" w:rsidRPr="00A153B6" w:rsidRDefault="00B562A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816D46">
          <w:t>Fortnightly epidemiological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348" w:rsidRPr="000A5F42" w:rsidRDefault="008B5348"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808E6"/>
    <w:multiLevelType w:val="multilevel"/>
    <w:tmpl w:val="4016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50044"/>
    <w:multiLevelType w:val="multilevel"/>
    <w:tmpl w:val="AC72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C2A69"/>
    <w:multiLevelType w:val="multilevel"/>
    <w:tmpl w:val="905E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C41E3"/>
    <w:multiLevelType w:val="multilevel"/>
    <w:tmpl w:val="D458E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924C31"/>
    <w:multiLevelType w:val="multilevel"/>
    <w:tmpl w:val="9746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D3750F"/>
    <w:multiLevelType w:val="multilevel"/>
    <w:tmpl w:val="2B32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32487"/>
    <w:multiLevelType w:val="hybridMultilevel"/>
    <w:tmpl w:val="EF925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F22F45"/>
    <w:multiLevelType w:val="hybridMultilevel"/>
    <w:tmpl w:val="3E745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53E2D"/>
    <w:multiLevelType w:val="multilevel"/>
    <w:tmpl w:val="E50A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787644"/>
    <w:multiLevelType w:val="multilevel"/>
    <w:tmpl w:val="C490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1C4E83"/>
    <w:multiLevelType w:val="hybridMultilevel"/>
    <w:tmpl w:val="9774D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8B17CC"/>
    <w:multiLevelType w:val="multilevel"/>
    <w:tmpl w:val="4B06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844487"/>
    <w:multiLevelType w:val="hybridMultilevel"/>
    <w:tmpl w:val="3E9E8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1"/>
  </w:num>
  <w:num w:numId="4">
    <w:abstractNumId w:val="4"/>
  </w:num>
  <w:num w:numId="5">
    <w:abstractNumId w:val="16"/>
  </w:num>
  <w:num w:numId="6">
    <w:abstractNumId w:val="17"/>
  </w:num>
  <w:num w:numId="7">
    <w:abstractNumId w:val="7"/>
  </w:num>
  <w:num w:numId="8">
    <w:abstractNumId w:val="13"/>
  </w:num>
  <w:num w:numId="9">
    <w:abstractNumId w:val="0"/>
  </w:num>
  <w:num w:numId="10">
    <w:abstractNumId w:val="12"/>
  </w:num>
  <w:num w:numId="11">
    <w:abstractNumId w:val="15"/>
  </w:num>
  <w:num w:numId="12">
    <w:abstractNumId w:val="1"/>
  </w:num>
  <w:num w:numId="13">
    <w:abstractNumId w:val="2"/>
  </w:num>
  <w:num w:numId="14">
    <w:abstractNumId w:val="3"/>
  </w:num>
  <w:num w:numId="15">
    <w:abstractNumId w:val="5"/>
  </w:num>
  <w:num w:numId="16">
    <w:abstractNumId w:val="14"/>
  </w:num>
  <w:num w:numId="17">
    <w:abstractNumId w:val="9"/>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attachedTemplate r:id="rId1"/>
  <w:defaultTabStop w:val="720"/>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0E7"/>
    <w:rsid w:val="00000B5B"/>
    <w:rsid w:val="00001611"/>
    <w:rsid w:val="00004659"/>
    <w:rsid w:val="00004A5D"/>
    <w:rsid w:val="000104A8"/>
    <w:rsid w:val="0001246E"/>
    <w:rsid w:val="000124B1"/>
    <w:rsid w:val="00012838"/>
    <w:rsid w:val="00016FE6"/>
    <w:rsid w:val="00031064"/>
    <w:rsid w:val="0003118D"/>
    <w:rsid w:val="00031692"/>
    <w:rsid w:val="00032531"/>
    <w:rsid w:val="000471BF"/>
    <w:rsid w:val="00047B68"/>
    <w:rsid w:val="00052600"/>
    <w:rsid w:val="0005643C"/>
    <w:rsid w:val="00061650"/>
    <w:rsid w:val="0006264A"/>
    <w:rsid w:val="00066126"/>
    <w:rsid w:val="000731A8"/>
    <w:rsid w:val="00073D77"/>
    <w:rsid w:val="00075B3D"/>
    <w:rsid w:val="00081655"/>
    <w:rsid w:val="000864E0"/>
    <w:rsid w:val="000969B3"/>
    <w:rsid w:val="000A590F"/>
    <w:rsid w:val="000A5F42"/>
    <w:rsid w:val="000B1E2A"/>
    <w:rsid w:val="000D4B4D"/>
    <w:rsid w:val="00111A40"/>
    <w:rsid w:val="00113D58"/>
    <w:rsid w:val="001200CB"/>
    <w:rsid w:val="001207E1"/>
    <w:rsid w:val="001378A3"/>
    <w:rsid w:val="00155582"/>
    <w:rsid w:val="00161590"/>
    <w:rsid w:val="00171CC0"/>
    <w:rsid w:val="00175494"/>
    <w:rsid w:val="00175629"/>
    <w:rsid w:val="00176E58"/>
    <w:rsid w:val="001830EC"/>
    <w:rsid w:val="00183534"/>
    <w:rsid w:val="001A31CE"/>
    <w:rsid w:val="001A4A96"/>
    <w:rsid w:val="001A5D05"/>
    <w:rsid w:val="001A796C"/>
    <w:rsid w:val="001B2614"/>
    <w:rsid w:val="001B37B8"/>
    <w:rsid w:val="001B552F"/>
    <w:rsid w:val="001C0893"/>
    <w:rsid w:val="001C1303"/>
    <w:rsid w:val="001C70B2"/>
    <w:rsid w:val="001D37C7"/>
    <w:rsid w:val="001D5D33"/>
    <w:rsid w:val="001D6888"/>
    <w:rsid w:val="001D7324"/>
    <w:rsid w:val="00224EFF"/>
    <w:rsid w:val="002276DC"/>
    <w:rsid w:val="00227E00"/>
    <w:rsid w:val="002307CB"/>
    <w:rsid w:val="00231046"/>
    <w:rsid w:val="00234F21"/>
    <w:rsid w:val="00242659"/>
    <w:rsid w:val="002428F7"/>
    <w:rsid w:val="0024315F"/>
    <w:rsid w:val="00244489"/>
    <w:rsid w:val="00252C9A"/>
    <w:rsid w:val="00256309"/>
    <w:rsid w:val="00257484"/>
    <w:rsid w:val="002603B8"/>
    <w:rsid w:val="00260636"/>
    <w:rsid w:val="00267848"/>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2F6E3F"/>
    <w:rsid w:val="00301626"/>
    <w:rsid w:val="003059EC"/>
    <w:rsid w:val="00307A4B"/>
    <w:rsid w:val="00315E2F"/>
    <w:rsid w:val="00316BEE"/>
    <w:rsid w:val="00316CCD"/>
    <w:rsid w:val="00324F7E"/>
    <w:rsid w:val="003323BC"/>
    <w:rsid w:val="00334101"/>
    <w:rsid w:val="00335096"/>
    <w:rsid w:val="00343DB1"/>
    <w:rsid w:val="00346D42"/>
    <w:rsid w:val="00346E11"/>
    <w:rsid w:val="003601C0"/>
    <w:rsid w:val="003635F5"/>
    <w:rsid w:val="00371D29"/>
    <w:rsid w:val="00372A88"/>
    <w:rsid w:val="00374571"/>
    <w:rsid w:val="00381A0F"/>
    <w:rsid w:val="00397D11"/>
    <w:rsid w:val="003A1B3A"/>
    <w:rsid w:val="003A40F5"/>
    <w:rsid w:val="003B5B8C"/>
    <w:rsid w:val="003C017A"/>
    <w:rsid w:val="003C1D72"/>
    <w:rsid w:val="003D5864"/>
    <w:rsid w:val="003D79B1"/>
    <w:rsid w:val="003E6F38"/>
    <w:rsid w:val="003E74EE"/>
    <w:rsid w:val="003F0552"/>
    <w:rsid w:val="003F3BC2"/>
    <w:rsid w:val="00401B7D"/>
    <w:rsid w:val="00401ED1"/>
    <w:rsid w:val="0040224C"/>
    <w:rsid w:val="00413EE1"/>
    <w:rsid w:val="004164BB"/>
    <w:rsid w:val="00421ECE"/>
    <w:rsid w:val="00422FEB"/>
    <w:rsid w:val="0042435E"/>
    <w:rsid w:val="004315F5"/>
    <w:rsid w:val="00433456"/>
    <w:rsid w:val="00433DFA"/>
    <w:rsid w:val="00435D67"/>
    <w:rsid w:val="00457F21"/>
    <w:rsid w:val="00464A58"/>
    <w:rsid w:val="0046604B"/>
    <w:rsid w:val="004703B6"/>
    <w:rsid w:val="00472643"/>
    <w:rsid w:val="00473D2D"/>
    <w:rsid w:val="00492B82"/>
    <w:rsid w:val="004A0B50"/>
    <w:rsid w:val="004A2125"/>
    <w:rsid w:val="004A38F6"/>
    <w:rsid w:val="004A3C58"/>
    <w:rsid w:val="004B1767"/>
    <w:rsid w:val="004B4EB6"/>
    <w:rsid w:val="004C083C"/>
    <w:rsid w:val="004C40DC"/>
    <w:rsid w:val="004C67C6"/>
    <w:rsid w:val="004D29DE"/>
    <w:rsid w:val="00510EAC"/>
    <w:rsid w:val="00536A1F"/>
    <w:rsid w:val="00542A57"/>
    <w:rsid w:val="005531A7"/>
    <w:rsid w:val="00565974"/>
    <w:rsid w:val="005732C0"/>
    <w:rsid w:val="0057336D"/>
    <w:rsid w:val="0057489A"/>
    <w:rsid w:val="00574ACF"/>
    <w:rsid w:val="00581588"/>
    <w:rsid w:val="005847DC"/>
    <w:rsid w:val="0058540B"/>
    <w:rsid w:val="00587C87"/>
    <w:rsid w:val="00590B80"/>
    <w:rsid w:val="00592C33"/>
    <w:rsid w:val="00593500"/>
    <w:rsid w:val="005939E7"/>
    <w:rsid w:val="005A5315"/>
    <w:rsid w:val="005B207E"/>
    <w:rsid w:val="005B3134"/>
    <w:rsid w:val="005B3657"/>
    <w:rsid w:val="005B4E61"/>
    <w:rsid w:val="005B595A"/>
    <w:rsid w:val="005B66C2"/>
    <w:rsid w:val="005D2465"/>
    <w:rsid w:val="005E33DD"/>
    <w:rsid w:val="005E4229"/>
    <w:rsid w:val="005E540E"/>
    <w:rsid w:val="005E55FB"/>
    <w:rsid w:val="005F16BB"/>
    <w:rsid w:val="00607115"/>
    <w:rsid w:val="00620768"/>
    <w:rsid w:val="0062594B"/>
    <w:rsid w:val="00630284"/>
    <w:rsid w:val="00631406"/>
    <w:rsid w:val="006324FF"/>
    <w:rsid w:val="006351D6"/>
    <w:rsid w:val="0063539A"/>
    <w:rsid w:val="00636E0D"/>
    <w:rsid w:val="0064142F"/>
    <w:rsid w:val="00643CB4"/>
    <w:rsid w:val="00645918"/>
    <w:rsid w:val="00656427"/>
    <w:rsid w:val="00660255"/>
    <w:rsid w:val="00686C76"/>
    <w:rsid w:val="006916C8"/>
    <w:rsid w:val="006971F3"/>
    <w:rsid w:val="006B2778"/>
    <w:rsid w:val="006B2787"/>
    <w:rsid w:val="006C3740"/>
    <w:rsid w:val="006C74A3"/>
    <w:rsid w:val="006D1381"/>
    <w:rsid w:val="006D31BC"/>
    <w:rsid w:val="006E10CF"/>
    <w:rsid w:val="006E784D"/>
    <w:rsid w:val="006E7943"/>
    <w:rsid w:val="006F24EA"/>
    <w:rsid w:val="007007C8"/>
    <w:rsid w:val="00704CA9"/>
    <w:rsid w:val="0071048D"/>
    <w:rsid w:val="00710F86"/>
    <w:rsid w:val="007111A8"/>
    <w:rsid w:val="00725C6C"/>
    <w:rsid w:val="00731BC3"/>
    <w:rsid w:val="00741192"/>
    <w:rsid w:val="00743A33"/>
    <w:rsid w:val="00745E1F"/>
    <w:rsid w:val="00746080"/>
    <w:rsid w:val="0075144A"/>
    <w:rsid w:val="00786329"/>
    <w:rsid w:val="00792C7D"/>
    <w:rsid w:val="00794A4D"/>
    <w:rsid w:val="007A5234"/>
    <w:rsid w:val="007B7854"/>
    <w:rsid w:val="007C56A1"/>
    <w:rsid w:val="007C6454"/>
    <w:rsid w:val="007E01E0"/>
    <w:rsid w:val="007F0B93"/>
    <w:rsid w:val="007F2ECA"/>
    <w:rsid w:val="00811708"/>
    <w:rsid w:val="00816B90"/>
    <w:rsid w:val="00816D46"/>
    <w:rsid w:val="00817799"/>
    <w:rsid w:val="00822F5F"/>
    <w:rsid w:val="00824FD3"/>
    <w:rsid w:val="00826589"/>
    <w:rsid w:val="00827CC4"/>
    <w:rsid w:val="00834BCC"/>
    <w:rsid w:val="00850D54"/>
    <w:rsid w:val="008714B0"/>
    <w:rsid w:val="00876331"/>
    <w:rsid w:val="00880726"/>
    <w:rsid w:val="008A12BF"/>
    <w:rsid w:val="008A3544"/>
    <w:rsid w:val="008B48B8"/>
    <w:rsid w:val="008B5348"/>
    <w:rsid w:val="008B58F8"/>
    <w:rsid w:val="008C0712"/>
    <w:rsid w:val="008C3145"/>
    <w:rsid w:val="008C4520"/>
    <w:rsid w:val="008C5F09"/>
    <w:rsid w:val="008D470F"/>
    <w:rsid w:val="008D4DC4"/>
    <w:rsid w:val="008E1F8F"/>
    <w:rsid w:val="008E4768"/>
    <w:rsid w:val="008E5C2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0C28"/>
    <w:rsid w:val="009A34F1"/>
    <w:rsid w:val="009A5166"/>
    <w:rsid w:val="009A604A"/>
    <w:rsid w:val="009A76F8"/>
    <w:rsid w:val="009B2B83"/>
    <w:rsid w:val="009C49F8"/>
    <w:rsid w:val="009D77CC"/>
    <w:rsid w:val="009E2423"/>
    <w:rsid w:val="009E55D7"/>
    <w:rsid w:val="009E72C3"/>
    <w:rsid w:val="009F207B"/>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55837"/>
    <w:rsid w:val="00A6708F"/>
    <w:rsid w:val="00A71BF6"/>
    <w:rsid w:val="00A86F9A"/>
    <w:rsid w:val="00AA35E6"/>
    <w:rsid w:val="00AA50B6"/>
    <w:rsid w:val="00AA5CD1"/>
    <w:rsid w:val="00AB0449"/>
    <w:rsid w:val="00AB3472"/>
    <w:rsid w:val="00AC3882"/>
    <w:rsid w:val="00AD0762"/>
    <w:rsid w:val="00AE169B"/>
    <w:rsid w:val="00AE4452"/>
    <w:rsid w:val="00AE7C38"/>
    <w:rsid w:val="00AF0702"/>
    <w:rsid w:val="00B01F99"/>
    <w:rsid w:val="00B02B37"/>
    <w:rsid w:val="00B05276"/>
    <w:rsid w:val="00B129A1"/>
    <w:rsid w:val="00B132DB"/>
    <w:rsid w:val="00B16F27"/>
    <w:rsid w:val="00B31427"/>
    <w:rsid w:val="00B33861"/>
    <w:rsid w:val="00B36B71"/>
    <w:rsid w:val="00B40DE2"/>
    <w:rsid w:val="00B50210"/>
    <w:rsid w:val="00B53955"/>
    <w:rsid w:val="00B562AB"/>
    <w:rsid w:val="00B6408A"/>
    <w:rsid w:val="00B70F1C"/>
    <w:rsid w:val="00B714B8"/>
    <w:rsid w:val="00B73D40"/>
    <w:rsid w:val="00B763CF"/>
    <w:rsid w:val="00B82C2C"/>
    <w:rsid w:val="00B8720B"/>
    <w:rsid w:val="00B876EF"/>
    <w:rsid w:val="00B948AE"/>
    <w:rsid w:val="00BA0914"/>
    <w:rsid w:val="00BA0CB8"/>
    <w:rsid w:val="00BA4697"/>
    <w:rsid w:val="00BB30DD"/>
    <w:rsid w:val="00BB5378"/>
    <w:rsid w:val="00BC0BD3"/>
    <w:rsid w:val="00BC6554"/>
    <w:rsid w:val="00BD0107"/>
    <w:rsid w:val="00BE0C33"/>
    <w:rsid w:val="00BE262C"/>
    <w:rsid w:val="00BE6C3D"/>
    <w:rsid w:val="00BF1B64"/>
    <w:rsid w:val="00C07606"/>
    <w:rsid w:val="00C07AC7"/>
    <w:rsid w:val="00C12542"/>
    <w:rsid w:val="00C24725"/>
    <w:rsid w:val="00C30BA9"/>
    <w:rsid w:val="00C313F6"/>
    <w:rsid w:val="00C3541E"/>
    <w:rsid w:val="00C35FF7"/>
    <w:rsid w:val="00C36A8F"/>
    <w:rsid w:val="00C42834"/>
    <w:rsid w:val="00C42FFA"/>
    <w:rsid w:val="00C507D8"/>
    <w:rsid w:val="00C62EAC"/>
    <w:rsid w:val="00C63F9F"/>
    <w:rsid w:val="00C6678A"/>
    <w:rsid w:val="00C7723C"/>
    <w:rsid w:val="00C838F5"/>
    <w:rsid w:val="00C92B72"/>
    <w:rsid w:val="00CA0749"/>
    <w:rsid w:val="00CA1AF4"/>
    <w:rsid w:val="00CA6068"/>
    <w:rsid w:val="00CB15E1"/>
    <w:rsid w:val="00CB3D46"/>
    <w:rsid w:val="00CD1A87"/>
    <w:rsid w:val="00CD35F3"/>
    <w:rsid w:val="00CD5C93"/>
    <w:rsid w:val="00CE342B"/>
    <w:rsid w:val="00CE34E9"/>
    <w:rsid w:val="00CF0542"/>
    <w:rsid w:val="00CF320C"/>
    <w:rsid w:val="00CF3A4B"/>
    <w:rsid w:val="00CF4001"/>
    <w:rsid w:val="00D05837"/>
    <w:rsid w:val="00D11211"/>
    <w:rsid w:val="00D11A15"/>
    <w:rsid w:val="00D12D8A"/>
    <w:rsid w:val="00D13E0C"/>
    <w:rsid w:val="00D25896"/>
    <w:rsid w:val="00D373A1"/>
    <w:rsid w:val="00D3757F"/>
    <w:rsid w:val="00D37C0F"/>
    <w:rsid w:val="00D45661"/>
    <w:rsid w:val="00D45943"/>
    <w:rsid w:val="00D47D22"/>
    <w:rsid w:val="00D51865"/>
    <w:rsid w:val="00D51D0C"/>
    <w:rsid w:val="00D74140"/>
    <w:rsid w:val="00D820E7"/>
    <w:rsid w:val="00DA067E"/>
    <w:rsid w:val="00DA6E56"/>
    <w:rsid w:val="00DC24E5"/>
    <w:rsid w:val="00DC6705"/>
    <w:rsid w:val="00DD2DE8"/>
    <w:rsid w:val="00DE38B4"/>
    <w:rsid w:val="00DE5D02"/>
    <w:rsid w:val="00E005A9"/>
    <w:rsid w:val="00E1166E"/>
    <w:rsid w:val="00E24DC0"/>
    <w:rsid w:val="00E2519C"/>
    <w:rsid w:val="00E25F2A"/>
    <w:rsid w:val="00E41455"/>
    <w:rsid w:val="00E42AD2"/>
    <w:rsid w:val="00E50856"/>
    <w:rsid w:val="00E538CC"/>
    <w:rsid w:val="00E54DBA"/>
    <w:rsid w:val="00E61B7C"/>
    <w:rsid w:val="00E63D7C"/>
    <w:rsid w:val="00E640D5"/>
    <w:rsid w:val="00E66E2E"/>
    <w:rsid w:val="00E67691"/>
    <w:rsid w:val="00E92237"/>
    <w:rsid w:val="00E951EF"/>
    <w:rsid w:val="00EA3D54"/>
    <w:rsid w:val="00EA56D9"/>
    <w:rsid w:val="00EA5CE3"/>
    <w:rsid w:val="00EB51C1"/>
    <w:rsid w:val="00EB5AE1"/>
    <w:rsid w:val="00EB5E0B"/>
    <w:rsid w:val="00EC2171"/>
    <w:rsid w:val="00EC39E5"/>
    <w:rsid w:val="00ED442D"/>
    <w:rsid w:val="00ED70C2"/>
    <w:rsid w:val="00EE18FF"/>
    <w:rsid w:val="00EE2477"/>
    <w:rsid w:val="00EE489F"/>
    <w:rsid w:val="00F0647F"/>
    <w:rsid w:val="00F10CE3"/>
    <w:rsid w:val="00F11FEA"/>
    <w:rsid w:val="00F14F3B"/>
    <w:rsid w:val="00F16362"/>
    <w:rsid w:val="00F207C7"/>
    <w:rsid w:val="00F22074"/>
    <w:rsid w:val="00F234BB"/>
    <w:rsid w:val="00F311E9"/>
    <w:rsid w:val="00F36B6D"/>
    <w:rsid w:val="00F43FA3"/>
    <w:rsid w:val="00F4675F"/>
    <w:rsid w:val="00F5394A"/>
    <w:rsid w:val="00F55648"/>
    <w:rsid w:val="00F70046"/>
    <w:rsid w:val="00F738B4"/>
    <w:rsid w:val="00F748C2"/>
    <w:rsid w:val="00F76C5C"/>
    <w:rsid w:val="00F81EF3"/>
    <w:rsid w:val="00F84496"/>
    <w:rsid w:val="00F85DCB"/>
    <w:rsid w:val="00F86F9C"/>
    <w:rsid w:val="00F90D76"/>
    <w:rsid w:val="00FB35E2"/>
    <w:rsid w:val="00FC002E"/>
    <w:rsid w:val="00FC145B"/>
    <w:rsid w:val="00FC3A0C"/>
    <w:rsid w:val="00FC3A6B"/>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0845CEF"/>
  <w15:docId w15:val="{5AA9E8AE-BA3E-434F-AAE0-6720AF98E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0B1E2A"/>
    <w:pPr>
      <w:spacing w:before="100" w:beforeAutospacing="1" w:after="100" w:afterAutospacing="1" w:line="240" w:lineRule="auto"/>
    </w:pPr>
    <w:rPr>
      <w:rFonts w:ascii="Times New Roman" w:hAnsi="Times New Roman" w:cs="Times New Roman"/>
      <w:sz w:val="24"/>
      <w:szCs w:val="24"/>
    </w:rPr>
  </w:style>
  <w:style w:type="paragraph" w:customStyle="1" w:styleId="Footnotewhangingindent">
    <w:name w:val="Footnote w. hanging indent"/>
    <w:basedOn w:val="Normal"/>
    <w:uiPriority w:val="99"/>
    <w:rsid w:val="00BB30DD"/>
    <w:pPr>
      <w:autoSpaceDE w:val="0"/>
      <w:autoSpaceDN w:val="0"/>
      <w:adjustRightInd w:val="0"/>
      <w:spacing w:after="0" w:line="180" w:lineRule="atLeast"/>
      <w:ind w:left="320" w:hanging="320"/>
      <w:textAlignment w:val="baseline"/>
    </w:pPr>
    <w:rPr>
      <w:rFonts w:ascii="MyriadConceptRoman-Regular" w:hAnsi="MyriadConceptRoman-Regular" w:cs="MyriadConceptRoman-Regular"/>
      <w:color w:val="000000"/>
      <w:sz w:val="17"/>
      <w:szCs w:val="17"/>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www.itsanhonour.gov.au/" TargetMode="External"/><Relationship Id="rId3" Type="http://schemas.openxmlformats.org/officeDocument/2006/relationships/numbering" Target="numbering.xml"/><Relationship Id="rId21" Type="http://schemas.openxmlformats.org/officeDocument/2006/relationships/hyperlink" Target="http://www.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creativecommons.org/licenses/by-nc-nd/4.0/legalcode"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health.gov.au/cdi" TargetMode="External"/><Relationship Id="rId28"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cdi.editor@health.gov.au" TargetMode="External"/><Relationship Id="rId27" Type="http://schemas.openxmlformats.org/officeDocument/2006/relationships/hyperlink" Target="mailto:copyright@health.gov.au"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35C77D-0017-41C1-B176-3F9F20BE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4</TotalTime>
  <Pages>26</Pages>
  <Words>8288</Words>
  <Characters>47242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31 - Fortnightly reporting period ending 6 December 2020</vt:lpstr>
    </vt:vector>
  </TitlesOfParts>
  <Company>Australian Government, Department of Health</Company>
  <LinksUpToDate>false</LinksUpToDate>
  <CharactersWithSpaces>55420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31 - Fortnightly reporting period ending 6 December 2020</dc:title>
  <dc:subject>This is the thirty-first epidemiological report for coronavirus disease 2019 (COVID-19), reported in Australia as at 23:59 Australian Eastern Daylight Time [AEDT] 6 December 2020.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4</cp:revision>
  <cp:lastPrinted>2018-05-10T02:19:00Z</cp:lastPrinted>
  <dcterms:created xsi:type="dcterms:W3CDTF">2020-12-15T00:12:00Z</dcterms:created>
  <dcterms:modified xsi:type="dcterms:W3CDTF">2020-12-15T05:11:00Z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16/12/2020</vt:lpwstr>
  </property>
  <property fmtid="{D5CDD505-2E9C-101B-9397-08002B2CF9AE}" pid="5" name="DOI">
    <vt:lpwstr>https://doi.org/10.33321/cdi.2020.44.92</vt:lpwstr>
  </property>
</Properties>
</file>